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9C65F" w14:textId="77777777" w:rsidR="00116785" w:rsidRDefault="00116785" w:rsidP="00A01975">
      <w:pPr>
        <w:ind w:hanging="810"/>
        <w:rPr>
          <w:rFonts w:cstheme="minorHAnsi"/>
          <w:b/>
          <w:color w:val="0070C0"/>
        </w:rPr>
      </w:pPr>
    </w:p>
    <w:p w14:paraId="3AD484AD" w14:textId="1DB8113B" w:rsidR="00A01975" w:rsidRPr="00116785" w:rsidRDefault="00A01975" w:rsidP="00A01975">
      <w:pPr>
        <w:ind w:hanging="810"/>
        <w:rPr>
          <w:rFonts w:ascii="Cambria" w:hAnsi="Cambria" w:cstheme="minorHAnsi"/>
          <w:b/>
          <w:color w:val="04607E"/>
        </w:rPr>
      </w:pPr>
      <w:r w:rsidRPr="00116785">
        <w:rPr>
          <w:rFonts w:ascii="Cambria" w:hAnsi="Cambria" w:cstheme="minorHAnsi"/>
          <w:b/>
          <w:color w:val="04607E"/>
        </w:rPr>
        <w:t>RADAR Example Gender Indicators for Coverage Surveys</w:t>
      </w:r>
    </w:p>
    <w:p w14:paraId="63B9A6A0" w14:textId="643A2A5B" w:rsidR="00A01975" w:rsidRPr="00116785" w:rsidRDefault="00A01975" w:rsidP="00A01975">
      <w:pPr>
        <w:ind w:hanging="810"/>
        <w:rPr>
          <w:rFonts w:ascii="Cambria" w:hAnsi="Cambria" w:cstheme="minorHAnsi"/>
          <w:color w:val="0070C0"/>
        </w:rPr>
      </w:pPr>
    </w:p>
    <w:p w14:paraId="12862FE8" w14:textId="77777777" w:rsidR="00116785" w:rsidRDefault="00A01975" w:rsidP="00A01975">
      <w:pPr>
        <w:ind w:left="-810"/>
        <w:rPr>
          <w:rFonts w:ascii="Cambria" w:hAnsi="Cambria" w:cstheme="minorHAnsi"/>
          <w:color w:val="000000" w:themeColor="text1"/>
        </w:rPr>
        <w:sectPr w:rsidR="00116785" w:rsidSect="00A019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828" w:right="1440" w:bottom="1440" w:left="1440" w:header="720" w:footer="720" w:gutter="0"/>
          <w:cols w:space="720"/>
          <w:docGrid w:linePitch="360"/>
        </w:sectPr>
      </w:pPr>
      <w:r w:rsidRPr="00116785">
        <w:rPr>
          <w:rFonts w:ascii="Cambria" w:hAnsi="Cambria" w:cstheme="minorHAnsi"/>
          <w:color w:val="000000" w:themeColor="text1"/>
        </w:rPr>
        <w:t xml:space="preserve">The following indicators are divided into key gender analysis domains, including: roles and practices, access to resources, decision-making, and norms and beliefs. All indicators </w:t>
      </w:r>
      <w:r w:rsidR="009D0B3F" w:rsidRPr="00116785">
        <w:rPr>
          <w:rFonts w:ascii="Cambria" w:hAnsi="Cambria" w:cstheme="minorHAnsi"/>
          <w:color w:val="000000" w:themeColor="text1"/>
        </w:rPr>
        <w:t>are dr</w:t>
      </w:r>
      <w:r w:rsidR="00397F38" w:rsidRPr="00116785">
        <w:rPr>
          <w:rFonts w:ascii="Cambria" w:hAnsi="Cambria" w:cstheme="minorHAnsi"/>
          <w:color w:val="000000" w:themeColor="text1"/>
        </w:rPr>
        <w:t>a</w:t>
      </w:r>
      <w:r w:rsidR="009D0B3F" w:rsidRPr="00116785">
        <w:rPr>
          <w:rFonts w:ascii="Cambria" w:hAnsi="Cambria" w:cstheme="minorHAnsi"/>
          <w:color w:val="000000" w:themeColor="text1"/>
        </w:rPr>
        <w:t xml:space="preserve">wn from validated data sets. </w:t>
      </w:r>
      <w:r w:rsidR="00397F38" w:rsidRPr="00116785">
        <w:rPr>
          <w:rFonts w:ascii="Cambria" w:hAnsi="Cambria" w:cstheme="minorHAnsi"/>
          <w:color w:val="000000" w:themeColor="text1"/>
        </w:rPr>
        <w:t>Please note that there are many other gender indicators that may</w:t>
      </w:r>
      <w:r w:rsidR="00F51C22" w:rsidRPr="00116785">
        <w:rPr>
          <w:rFonts w:ascii="Cambria" w:hAnsi="Cambria" w:cstheme="minorHAnsi"/>
          <w:color w:val="000000" w:themeColor="text1"/>
        </w:rPr>
        <w:t xml:space="preserve"> be</w:t>
      </w:r>
      <w:r w:rsidR="00397F38" w:rsidRPr="00116785">
        <w:rPr>
          <w:rFonts w:ascii="Cambria" w:hAnsi="Cambria" w:cstheme="minorHAnsi"/>
          <w:color w:val="000000" w:themeColor="text1"/>
        </w:rPr>
        <w:t xml:space="preserve"> relevant to your sur</w:t>
      </w:r>
      <w:r w:rsidR="00116785">
        <w:rPr>
          <w:rFonts w:ascii="Cambria" w:hAnsi="Cambria" w:cstheme="minorHAnsi"/>
          <w:color w:val="000000" w:themeColor="text1"/>
        </w:rPr>
        <w:t>vey which are not included here</w:t>
      </w:r>
    </w:p>
    <w:p w14:paraId="2F7C7E5D" w14:textId="5B060F4F" w:rsidR="00116785" w:rsidRDefault="00116785" w:rsidP="00A01975">
      <w:pPr>
        <w:ind w:left="-810"/>
        <w:rPr>
          <w:rFonts w:ascii="Cambria" w:hAnsi="Cambria" w:cstheme="minorHAnsi"/>
          <w:color w:val="000000" w:themeColor="text1"/>
        </w:rPr>
        <w:sectPr w:rsidR="00116785" w:rsidSect="00116785">
          <w:type w:val="continuous"/>
          <w:pgSz w:w="15840" w:h="12240" w:orient="landscape"/>
          <w:pgMar w:top="828" w:right="1440" w:bottom="1440" w:left="1440" w:header="720" w:footer="720" w:gutter="0"/>
          <w:cols w:space="720"/>
          <w:docGrid w:linePitch="360"/>
        </w:sectPr>
      </w:pPr>
    </w:p>
    <w:p w14:paraId="54FE4CC8" w14:textId="56087420" w:rsidR="00A01975" w:rsidRPr="00116785" w:rsidRDefault="00A01975">
      <w:pPr>
        <w:rPr>
          <w:rFonts w:ascii="Cambria" w:hAnsi="Cambria"/>
        </w:rPr>
      </w:pPr>
    </w:p>
    <w:tbl>
      <w:tblPr>
        <w:tblW w:w="1449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2428"/>
        <w:gridCol w:w="2700"/>
        <w:gridCol w:w="3330"/>
        <w:gridCol w:w="4050"/>
      </w:tblGrid>
      <w:tr w:rsidR="00B35BAF" w:rsidRPr="00116785" w14:paraId="22102265" w14:textId="37FD3DF3" w:rsidTr="00A01975">
        <w:trPr>
          <w:trHeight w:val="340"/>
        </w:trPr>
        <w:tc>
          <w:tcPr>
            <w:tcW w:w="1982" w:type="dxa"/>
            <w:shd w:val="clear" w:color="auto" w:fill="D9D9D9" w:themeFill="background1" w:themeFillShade="D9"/>
            <w:hideMark/>
          </w:tcPr>
          <w:p w14:paraId="407A093B" w14:textId="77777777" w:rsidR="00A01975" w:rsidRPr="00116785" w:rsidRDefault="00A01975" w:rsidP="00E6125E">
            <w:pPr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</w:rPr>
              <w:t>Indicator Name</w:t>
            </w:r>
          </w:p>
        </w:tc>
        <w:tc>
          <w:tcPr>
            <w:tcW w:w="2428" w:type="dxa"/>
            <w:shd w:val="clear" w:color="auto" w:fill="D9D9D9" w:themeFill="background1" w:themeFillShade="D9"/>
            <w:hideMark/>
          </w:tcPr>
          <w:p w14:paraId="24C0F8D2" w14:textId="77777777" w:rsidR="00A01975" w:rsidRPr="00116785" w:rsidRDefault="00A01975" w:rsidP="00E6125E">
            <w:pPr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</w:rPr>
              <w:t>Definition</w:t>
            </w:r>
          </w:p>
        </w:tc>
        <w:tc>
          <w:tcPr>
            <w:tcW w:w="2700" w:type="dxa"/>
            <w:shd w:val="clear" w:color="auto" w:fill="D9D9D9" w:themeFill="background1" w:themeFillShade="D9"/>
            <w:hideMark/>
          </w:tcPr>
          <w:p w14:paraId="1A1668B5" w14:textId="77777777" w:rsidR="00A01975" w:rsidRPr="00116785" w:rsidRDefault="00A01975" w:rsidP="00E6125E">
            <w:pPr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</w:rPr>
              <w:t>Detail</w:t>
            </w:r>
          </w:p>
        </w:tc>
        <w:tc>
          <w:tcPr>
            <w:tcW w:w="3330" w:type="dxa"/>
            <w:shd w:val="clear" w:color="auto" w:fill="D9D9D9" w:themeFill="background1" w:themeFillShade="D9"/>
            <w:hideMark/>
          </w:tcPr>
          <w:p w14:paraId="68BBA81D" w14:textId="77777777" w:rsidR="00A01975" w:rsidRPr="00116785" w:rsidRDefault="00A01975" w:rsidP="00E6125E">
            <w:pPr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</w:rPr>
              <w:t>Numerator</w:t>
            </w:r>
          </w:p>
        </w:tc>
        <w:tc>
          <w:tcPr>
            <w:tcW w:w="4050" w:type="dxa"/>
            <w:shd w:val="clear" w:color="auto" w:fill="D9D9D9" w:themeFill="background1" w:themeFillShade="D9"/>
            <w:hideMark/>
          </w:tcPr>
          <w:p w14:paraId="022D61DE" w14:textId="77777777" w:rsidR="00A01975" w:rsidRPr="00116785" w:rsidRDefault="00A01975" w:rsidP="00E6125E">
            <w:pPr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</w:rPr>
              <w:t>Denominator</w:t>
            </w:r>
          </w:p>
        </w:tc>
      </w:tr>
      <w:tr w:rsidR="00A01975" w:rsidRPr="00116785" w14:paraId="04D0D81E" w14:textId="382CA942" w:rsidTr="00A01975">
        <w:trPr>
          <w:trHeight w:val="320"/>
        </w:trPr>
        <w:tc>
          <w:tcPr>
            <w:tcW w:w="14490" w:type="dxa"/>
            <w:gridSpan w:val="5"/>
            <w:shd w:val="clear" w:color="000000" w:fill="F8CBAD"/>
            <w:hideMark/>
          </w:tcPr>
          <w:p w14:paraId="66C80BCE" w14:textId="091816A8" w:rsidR="00A01975" w:rsidRPr="00116785" w:rsidRDefault="00A01975" w:rsidP="00E6125E">
            <w:pPr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</w:rPr>
              <w:t>Roles and Practices</w:t>
            </w:r>
          </w:p>
          <w:p w14:paraId="49C77B45" w14:textId="1B6AAEFE" w:rsidR="00A01975" w:rsidRPr="00116785" w:rsidRDefault="00A01975" w:rsidP="00E6125E">
            <w:pPr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975" w:rsidRPr="00116785" w14:paraId="0D3F55D7" w14:textId="79560B81" w:rsidTr="00A01975">
        <w:trPr>
          <w:trHeight w:val="1295"/>
        </w:trPr>
        <w:tc>
          <w:tcPr>
            <w:tcW w:w="1982" w:type="dxa"/>
            <w:shd w:val="clear" w:color="auto" w:fill="auto"/>
            <w:hideMark/>
          </w:tcPr>
          <w:p w14:paraId="5AFFA667" w14:textId="77777777" w:rsidR="00A01975" w:rsidRPr="00116785" w:rsidRDefault="00A01975" w:rsidP="00E6125E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Accompaniment by husband/partner to antenatal care visit</w:t>
            </w:r>
          </w:p>
        </w:tc>
        <w:tc>
          <w:tcPr>
            <w:tcW w:w="2428" w:type="dxa"/>
            <w:shd w:val="clear" w:color="auto" w:fill="auto"/>
            <w:hideMark/>
          </w:tcPr>
          <w:p w14:paraId="1C9F9D67" w14:textId="77777777" w:rsidR="00A01975" w:rsidRPr="00116785" w:rsidRDefault="00A01975" w:rsidP="00E6125E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Percentage of women age 15-49 who were accompanied by their husbands/partners to an antenatal care (ANC) visit</w:t>
            </w:r>
          </w:p>
        </w:tc>
        <w:tc>
          <w:tcPr>
            <w:tcW w:w="2700" w:type="dxa"/>
            <w:shd w:val="clear" w:color="auto" w:fill="auto"/>
            <w:hideMark/>
          </w:tcPr>
          <w:p w14:paraId="3266460B" w14:textId="77777777" w:rsidR="00A01975" w:rsidRPr="00116785" w:rsidRDefault="00A01975" w:rsidP="00E6125E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‘Accompanied’ means that the husband/partner went with her to ANC visit, regardless of if the ANC visit occurred at a health facility or not.</w:t>
            </w:r>
          </w:p>
        </w:tc>
        <w:tc>
          <w:tcPr>
            <w:tcW w:w="3330" w:type="dxa"/>
            <w:shd w:val="clear" w:color="auto" w:fill="auto"/>
            <w:hideMark/>
          </w:tcPr>
          <w:p w14:paraId="1899F4BB" w14:textId="50E4C0F4" w:rsidR="00A01975" w:rsidRPr="00116785" w:rsidRDefault="00A01975" w:rsidP="00E6125E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Number of currently married or partnered women 15-49 years of age with a live birth in the 2 years prior to the survey who attended antenatal care during her most recent pregnancy and were accompanied at least once to an antenatal care visit by their husband / partner</w:t>
            </w:r>
          </w:p>
        </w:tc>
        <w:tc>
          <w:tcPr>
            <w:tcW w:w="4050" w:type="dxa"/>
            <w:shd w:val="clear" w:color="auto" w:fill="auto"/>
            <w:hideMark/>
          </w:tcPr>
          <w:p w14:paraId="654E7084" w14:textId="72CB38B7" w:rsidR="00A01975" w:rsidRPr="00116785" w:rsidRDefault="00A01975" w:rsidP="00E6125E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 xml:space="preserve">Total number of currently married or partnered women 15-49 years of age surveyed with a live birth in the 2 years prior to the survey who attended antenatal care during their most recent pregnancy </w:t>
            </w:r>
          </w:p>
        </w:tc>
      </w:tr>
      <w:tr w:rsidR="00B35BAF" w:rsidRPr="00116785" w14:paraId="224E7D6A" w14:textId="42CEF9DA" w:rsidTr="00A01975">
        <w:trPr>
          <w:trHeight w:val="2240"/>
        </w:trPr>
        <w:tc>
          <w:tcPr>
            <w:tcW w:w="1982" w:type="dxa"/>
            <w:shd w:val="clear" w:color="auto" w:fill="FBE4D5" w:themeFill="accent2" w:themeFillTint="33"/>
            <w:hideMark/>
          </w:tcPr>
          <w:p w14:paraId="51CCE36F" w14:textId="77777777" w:rsidR="00A01975" w:rsidRPr="00116785" w:rsidRDefault="00A01975" w:rsidP="00E6125E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Husband/partner present during the antenatal care consultation</w:t>
            </w:r>
          </w:p>
        </w:tc>
        <w:tc>
          <w:tcPr>
            <w:tcW w:w="2428" w:type="dxa"/>
            <w:shd w:val="clear" w:color="auto" w:fill="FBE4D5" w:themeFill="accent2" w:themeFillTint="33"/>
            <w:hideMark/>
          </w:tcPr>
          <w:p w14:paraId="3C3DFA5B" w14:textId="77777777" w:rsidR="00A01975" w:rsidRPr="00116785" w:rsidRDefault="00A01975" w:rsidP="00E6125E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Percentage of women age 15-49 whose husbands/partners were present during the antenatal care (ANC) visit consultation</w:t>
            </w:r>
          </w:p>
        </w:tc>
        <w:tc>
          <w:tcPr>
            <w:tcW w:w="2700" w:type="dxa"/>
            <w:shd w:val="clear" w:color="auto" w:fill="FBE4D5" w:themeFill="accent2" w:themeFillTint="33"/>
            <w:hideMark/>
          </w:tcPr>
          <w:p w14:paraId="30BA5784" w14:textId="77777777" w:rsidR="00A01975" w:rsidRPr="00116785" w:rsidRDefault="00A01975" w:rsidP="00E6125E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"Present" during the antenatal care consultation, refers to being either physically ‘present’ in the room or other location, such as outside or in a hallway.</w:t>
            </w:r>
          </w:p>
        </w:tc>
        <w:tc>
          <w:tcPr>
            <w:tcW w:w="3330" w:type="dxa"/>
            <w:shd w:val="clear" w:color="auto" w:fill="FBE4D5" w:themeFill="accent2" w:themeFillTint="33"/>
            <w:hideMark/>
          </w:tcPr>
          <w:p w14:paraId="77BC305A" w14:textId="039D9EE1" w:rsidR="00A01975" w:rsidRPr="00116785" w:rsidRDefault="00A01975" w:rsidP="00E6125E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Number of currently married or partnered women 15-49 years of age with a live birth in the 2 years prior to the survey who attended antenatal care and whose husband/partner was present at least once during the consultation portion of the antenatal care visit during her most recent pregnancy</w:t>
            </w:r>
          </w:p>
        </w:tc>
        <w:tc>
          <w:tcPr>
            <w:tcW w:w="4050" w:type="dxa"/>
            <w:shd w:val="clear" w:color="auto" w:fill="FBE4D5" w:themeFill="accent2" w:themeFillTint="33"/>
            <w:hideMark/>
          </w:tcPr>
          <w:p w14:paraId="0997DEE4" w14:textId="4EDCB1CB" w:rsidR="00A01975" w:rsidRPr="00116785" w:rsidRDefault="00A01975" w:rsidP="00E6125E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 xml:space="preserve">Total number of currently married or partnered women 15-49 years of age surveyed with a live birth in the 2 years prior to the survey who were accompanied by their husband/partner to an antenatal care visit during their most recent pregnancy </w:t>
            </w:r>
          </w:p>
        </w:tc>
      </w:tr>
      <w:tr w:rsidR="00A01975" w:rsidRPr="00116785" w14:paraId="7A0E45A6" w14:textId="434A985C" w:rsidTr="00A01975">
        <w:trPr>
          <w:trHeight w:val="2240"/>
        </w:trPr>
        <w:tc>
          <w:tcPr>
            <w:tcW w:w="1982" w:type="dxa"/>
            <w:shd w:val="clear" w:color="auto" w:fill="auto"/>
            <w:hideMark/>
          </w:tcPr>
          <w:p w14:paraId="382E01E8" w14:textId="77777777" w:rsidR="00A01975" w:rsidRPr="00116785" w:rsidRDefault="00A01975" w:rsidP="00E6125E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lastRenderedPageBreak/>
              <w:t>Accompaniment by husband/partner to labour and delivery</w:t>
            </w:r>
          </w:p>
        </w:tc>
        <w:tc>
          <w:tcPr>
            <w:tcW w:w="2428" w:type="dxa"/>
            <w:shd w:val="clear" w:color="auto" w:fill="auto"/>
            <w:hideMark/>
          </w:tcPr>
          <w:p w14:paraId="580BF62D" w14:textId="77777777" w:rsidR="00A01975" w:rsidRPr="00116785" w:rsidRDefault="00A01975" w:rsidP="00E6125E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Percentage of women age 15-49 whose husbands/partners were with them during the delivery of their last child.</w:t>
            </w:r>
          </w:p>
        </w:tc>
        <w:tc>
          <w:tcPr>
            <w:tcW w:w="2700" w:type="dxa"/>
            <w:shd w:val="clear" w:color="auto" w:fill="auto"/>
            <w:hideMark/>
          </w:tcPr>
          <w:p w14:paraId="5DEFEE78" w14:textId="77777777" w:rsidR="00A01975" w:rsidRPr="00116785" w:rsidRDefault="00A01975" w:rsidP="00E6125E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Includes having the husband/partner with the women either in the delivery room during birth or in a waiting area, regardless of if the birth occurred at health facility or not.</w:t>
            </w:r>
          </w:p>
        </w:tc>
        <w:tc>
          <w:tcPr>
            <w:tcW w:w="3330" w:type="dxa"/>
            <w:shd w:val="clear" w:color="auto" w:fill="auto"/>
            <w:hideMark/>
          </w:tcPr>
          <w:p w14:paraId="589C4E6E" w14:textId="07CD5D69" w:rsidR="00A01975" w:rsidRPr="00116785" w:rsidRDefault="00A01975" w:rsidP="00E6125E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Number of currently married or partnered women 15-49 years of age with a live birth in the 2 years prior to the survey whose husband/partner was with her during labour and delivery of her most recent childbirth</w:t>
            </w:r>
          </w:p>
        </w:tc>
        <w:tc>
          <w:tcPr>
            <w:tcW w:w="4050" w:type="dxa"/>
            <w:shd w:val="clear" w:color="auto" w:fill="auto"/>
            <w:hideMark/>
          </w:tcPr>
          <w:p w14:paraId="7F79ADD2" w14:textId="77777777" w:rsidR="00A01975" w:rsidRPr="00116785" w:rsidRDefault="00A01975" w:rsidP="00E6125E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Total number of currently married or partnered women aged 15-49 years surveyed with a live birth in the 2 years prior to the survey</w:t>
            </w:r>
          </w:p>
        </w:tc>
      </w:tr>
      <w:tr w:rsidR="00B35BAF" w:rsidRPr="00116785" w14:paraId="501DDF6C" w14:textId="3660BACA" w:rsidTr="00A01975">
        <w:trPr>
          <w:trHeight w:val="1920"/>
        </w:trPr>
        <w:tc>
          <w:tcPr>
            <w:tcW w:w="1982" w:type="dxa"/>
            <w:shd w:val="clear" w:color="auto" w:fill="FBE4D5" w:themeFill="accent2" w:themeFillTint="33"/>
            <w:hideMark/>
          </w:tcPr>
          <w:p w14:paraId="1092F4F5" w14:textId="77777777" w:rsidR="00A01975" w:rsidRPr="00116785" w:rsidRDefault="00A01975" w:rsidP="00E6125E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Husband / partner present during labour and delivery</w:t>
            </w:r>
          </w:p>
        </w:tc>
        <w:tc>
          <w:tcPr>
            <w:tcW w:w="2428" w:type="dxa"/>
            <w:shd w:val="clear" w:color="auto" w:fill="FBE4D5" w:themeFill="accent2" w:themeFillTint="33"/>
            <w:hideMark/>
          </w:tcPr>
          <w:p w14:paraId="70CC1406" w14:textId="77777777" w:rsidR="00A01975" w:rsidRPr="00116785" w:rsidRDefault="00A01975" w:rsidP="00E6125E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Percentage of women age 15-49 whose husbands/partners were present in the room during the birth of their last child.</w:t>
            </w:r>
          </w:p>
        </w:tc>
        <w:tc>
          <w:tcPr>
            <w:tcW w:w="2700" w:type="dxa"/>
            <w:shd w:val="clear" w:color="auto" w:fill="FBE4D5" w:themeFill="accent2" w:themeFillTint="33"/>
            <w:hideMark/>
          </w:tcPr>
          <w:p w14:paraId="60290CC9" w14:textId="3BEE5270" w:rsidR="00A01975" w:rsidRPr="00116785" w:rsidRDefault="00A01975" w:rsidP="00E6125E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"Present" refers to being in the delivery room or other location during any part of the labour or childbirth, regardless of if the birth occurred at a health facility or not.</w:t>
            </w:r>
          </w:p>
        </w:tc>
        <w:tc>
          <w:tcPr>
            <w:tcW w:w="3330" w:type="dxa"/>
            <w:shd w:val="clear" w:color="auto" w:fill="FBE4D5" w:themeFill="accent2" w:themeFillTint="33"/>
            <w:hideMark/>
          </w:tcPr>
          <w:p w14:paraId="21DC565C" w14:textId="40DD608A" w:rsidR="00A01975" w:rsidRPr="00116785" w:rsidRDefault="00A01975" w:rsidP="00E6125E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Number of currently married or partnered women 15-49 years of age with a live birth in the 2 years prior to the survey whose husband/partner was present in the room during labour and delivery of her most recent childbirth</w:t>
            </w:r>
          </w:p>
        </w:tc>
        <w:tc>
          <w:tcPr>
            <w:tcW w:w="4050" w:type="dxa"/>
            <w:shd w:val="clear" w:color="auto" w:fill="FBE4D5" w:themeFill="accent2" w:themeFillTint="33"/>
            <w:hideMark/>
          </w:tcPr>
          <w:p w14:paraId="1CE9CB02" w14:textId="77777777" w:rsidR="00A01975" w:rsidRPr="00116785" w:rsidRDefault="00A01975" w:rsidP="00E6125E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Total number of currently married or partnered women aged 15-49 years surveyed with a live birth in the 2 years prior to the survey</w:t>
            </w:r>
          </w:p>
        </w:tc>
      </w:tr>
      <w:tr w:rsidR="00B35BAF" w:rsidRPr="00116785" w14:paraId="29AFA230" w14:textId="77777777" w:rsidTr="00B35BAF">
        <w:trPr>
          <w:trHeight w:val="1920"/>
        </w:trPr>
        <w:tc>
          <w:tcPr>
            <w:tcW w:w="1982" w:type="dxa"/>
            <w:shd w:val="clear" w:color="auto" w:fill="FFFFFF" w:themeFill="background1"/>
          </w:tcPr>
          <w:p w14:paraId="4B9B7B1C" w14:textId="77777777" w:rsidR="00B35BAF" w:rsidRPr="00B35BAF" w:rsidRDefault="00B35BAF" w:rsidP="00B35BAF">
            <w:pPr>
              <w:spacing w:before="120" w:after="120" w:line="259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B35BAF">
              <w:rPr>
                <w:rFonts w:ascii="Cambria" w:hAnsi="Cambria"/>
                <w:sz w:val="20"/>
                <w:szCs w:val="20"/>
              </w:rPr>
              <w:t xml:space="preserve">Husband/partner was allowed in the room/space during antenatal care visits </w:t>
            </w:r>
          </w:p>
          <w:p w14:paraId="61DB854F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FFFFFF" w:themeFill="background1"/>
          </w:tcPr>
          <w:p w14:paraId="26CEAE20" w14:textId="77777777" w:rsidR="00B35BAF" w:rsidRPr="00B35BAF" w:rsidRDefault="00B35BAF" w:rsidP="00B35BAF">
            <w:pPr>
              <w:spacing w:before="120" w:after="120" w:line="259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B35BAF">
              <w:rPr>
                <w:rFonts w:ascii="Cambria" w:hAnsi="Cambria"/>
                <w:sz w:val="20"/>
                <w:szCs w:val="20"/>
              </w:rPr>
              <w:t xml:space="preserve">Percentage of women age 15-49 who stated that husband/partner was allowed in the room/space during antenatal care visits </w:t>
            </w:r>
          </w:p>
          <w:p w14:paraId="3D962162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438B85D7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5A9A6FC2" w14:textId="61FACA01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B35BA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Number of women </w:t>
            </w:r>
            <w:r w:rsidRPr="00B35BAF">
              <w:rPr>
                <w:rFonts w:ascii="Cambria" w:hAnsi="Cambria"/>
                <w:sz w:val="20"/>
                <w:szCs w:val="20"/>
              </w:rPr>
              <w:t>age 15-49 who stated their husband/partner was allowed in the room or other space during their antenatal care visits.</w:t>
            </w:r>
          </w:p>
        </w:tc>
        <w:tc>
          <w:tcPr>
            <w:tcW w:w="4050" w:type="dxa"/>
            <w:shd w:val="clear" w:color="auto" w:fill="FFFFFF" w:themeFill="background1"/>
          </w:tcPr>
          <w:p w14:paraId="71BE3978" w14:textId="2A8457C9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B35BAF">
              <w:rPr>
                <w:rFonts w:ascii="Cambria" w:eastAsia="Times New Roman" w:hAnsi="Cambria" w:cs="Times New Roman"/>
                <w:sz w:val="20"/>
                <w:szCs w:val="20"/>
              </w:rPr>
              <w:t>Total number of women aged 15-19 who had a baby in the last two years whose husbands/partners were not present in the room during the ANC consultation</w:t>
            </w:r>
          </w:p>
        </w:tc>
      </w:tr>
      <w:tr w:rsidR="00B35BAF" w:rsidRPr="00116785" w14:paraId="587C0E75" w14:textId="77777777" w:rsidTr="00A01975">
        <w:trPr>
          <w:trHeight w:val="1920"/>
        </w:trPr>
        <w:tc>
          <w:tcPr>
            <w:tcW w:w="1982" w:type="dxa"/>
            <w:shd w:val="clear" w:color="auto" w:fill="FBE4D5" w:themeFill="accent2" w:themeFillTint="33"/>
          </w:tcPr>
          <w:p w14:paraId="51A420B2" w14:textId="389FC2DC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</w:t>
            </w:r>
            <w:r w:rsidRPr="00B35BAF">
              <w:rPr>
                <w:rFonts w:ascii="Cambria" w:hAnsi="Cambria"/>
                <w:sz w:val="20"/>
                <w:szCs w:val="20"/>
              </w:rPr>
              <w:t xml:space="preserve">usband/partner </w:t>
            </w:r>
            <w:r>
              <w:rPr>
                <w:rFonts w:ascii="Cambria" w:hAnsi="Cambria"/>
                <w:sz w:val="20"/>
                <w:szCs w:val="20"/>
              </w:rPr>
              <w:t>was</w:t>
            </w:r>
            <w:r w:rsidRPr="00B35BAF">
              <w:rPr>
                <w:rFonts w:ascii="Cambria" w:hAnsi="Cambria"/>
                <w:sz w:val="20"/>
                <w:szCs w:val="20"/>
              </w:rPr>
              <w:t xml:space="preserve"> present in the room or other space during their antenatal care consultation</w:t>
            </w:r>
          </w:p>
        </w:tc>
        <w:tc>
          <w:tcPr>
            <w:tcW w:w="2428" w:type="dxa"/>
            <w:shd w:val="clear" w:color="auto" w:fill="FBE4D5" w:themeFill="accent2" w:themeFillTint="33"/>
          </w:tcPr>
          <w:p w14:paraId="20872289" w14:textId="4893A0F9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B35BAF">
              <w:rPr>
                <w:rFonts w:ascii="Cambria" w:hAnsi="Cambria"/>
                <w:sz w:val="20"/>
                <w:szCs w:val="20"/>
              </w:rPr>
              <w:t xml:space="preserve">Percentage of women age 15-49 who wanted their husband/partner to be present in the room or other space during their antenatal care consultation </w:t>
            </w:r>
          </w:p>
        </w:tc>
        <w:tc>
          <w:tcPr>
            <w:tcW w:w="2700" w:type="dxa"/>
            <w:shd w:val="clear" w:color="auto" w:fill="FBE4D5" w:themeFill="accent2" w:themeFillTint="33"/>
          </w:tcPr>
          <w:p w14:paraId="7B449B63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BE4D5" w:themeFill="accent2" w:themeFillTint="33"/>
          </w:tcPr>
          <w:p w14:paraId="629342E0" w14:textId="77777777" w:rsidR="00B35BAF" w:rsidRPr="00B35BAF" w:rsidRDefault="00B35BAF" w:rsidP="00B35BAF">
            <w:pPr>
              <w:spacing w:before="120" w:after="120" w:line="259" w:lineRule="auto"/>
              <w:contextualSpacing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35BA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Number of women </w:t>
            </w:r>
            <w:r w:rsidRPr="00B35BAF">
              <w:rPr>
                <w:rFonts w:ascii="Cambria" w:hAnsi="Cambria"/>
                <w:sz w:val="20"/>
                <w:szCs w:val="20"/>
              </w:rPr>
              <w:t xml:space="preserve">age 15-49 who wanted their husband/partner to be present in the room or other space during their antenatal care consultation. </w:t>
            </w:r>
          </w:p>
          <w:p w14:paraId="120A18F5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BE4D5" w:themeFill="accent2" w:themeFillTint="33"/>
          </w:tcPr>
          <w:p w14:paraId="46798416" w14:textId="77777777" w:rsidR="00B35BAF" w:rsidRPr="00B35BAF" w:rsidRDefault="00B35BAF" w:rsidP="00B35BAF">
            <w:pPr>
              <w:spacing w:after="160" w:line="259" w:lineRule="auto"/>
              <w:contextualSpacing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35BAF">
              <w:rPr>
                <w:rFonts w:ascii="Cambria" w:eastAsia="Times New Roman" w:hAnsi="Cambria" w:cs="Times New Roman"/>
                <w:sz w:val="20"/>
                <w:szCs w:val="20"/>
              </w:rPr>
              <w:t>Total number of women aged 15-19 who had a baby in the last two years whose husbands/partners were not present in the room during the ANC consultation</w:t>
            </w:r>
          </w:p>
          <w:p w14:paraId="286C2960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</w:p>
        </w:tc>
      </w:tr>
      <w:tr w:rsidR="00B35BAF" w:rsidRPr="00116785" w14:paraId="66B43675" w14:textId="77777777" w:rsidTr="00B35BAF">
        <w:trPr>
          <w:trHeight w:val="1920"/>
        </w:trPr>
        <w:tc>
          <w:tcPr>
            <w:tcW w:w="1982" w:type="dxa"/>
            <w:shd w:val="clear" w:color="auto" w:fill="FFFFFF" w:themeFill="background1"/>
          </w:tcPr>
          <w:p w14:paraId="5B3A0B02" w14:textId="6AACC9F8" w:rsidR="00B35BAF" w:rsidRPr="00B35BAF" w:rsidRDefault="00B35BAF" w:rsidP="00B35BAF">
            <w:pPr>
              <w:spacing w:before="120" w:after="120" w:line="259" w:lineRule="auto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H</w:t>
            </w:r>
            <w:r w:rsidRPr="00B35BAF">
              <w:rPr>
                <w:rFonts w:ascii="Cambria" w:hAnsi="Cambria"/>
                <w:sz w:val="20"/>
                <w:szCs w:val="20"/>
              </w:rPr>
              <w:t xml:space="preserve">usband/partner was allowed in the room when they delivered.  </w:t>
            </w:r>
          </w:p>
          <w:p w14:paraId="187D0157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FFFFFF" w:themeFill="background1"/>
          </w:tcPr>
          <w:p w14:paraId="5CC54136" w14:textId="77777777" w:rsidR="00B35BAF" w:rsidRPr="00B35BAF" w:rsidRDefault="00B35BAF" w:rsidP="00B35BAF">
            <w:pPr>
              <w:spacing w:before="120" w:after="120" w:line="259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B35BAF">
              <w:rPr>
                <w:rFonts w:ascii="Cambria" w:hAnsi="Cambria"/>
                <w:sz w:val="20"/>
                <w:szCs w:val="20"/>
              </w:rPr>
              <w:t xml:space="preserve">Percentage of women age 15-49 who stated that husband/partner was allowed in the room when they delivered.  </w:t>
            </w:r>
          </w:p>
          <w:p w14:paraId="0EA92CE4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0B2BE8D8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1663ADA1" w14:textId="77777777" w:rsidR="00B35BAF" w:rsidRPr="00B35BAF" w:rsidRDefault="00B35BAF" w:rsidP="00B35BAF">
            <w:pPr>
              <w:spacing w:before="120" w:after="120" w:line="259" w:lineRule="auto"/>
              <w:contextualSpacing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35BA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Number of women </w:t>
            </w:r>
            <w:r w:rsidRPr="00B35BAF">
              <w:rPr>
                <w:rFonts w:ascii="Cambria" w:hAnsi="Cambria"/>
                <w:sz w:val="20"/>
                <w:szCs w:val="20"/>
              </w:rPr>
              <w:t>age 15-49 who stated their husband/partner was allowed in the room when they delivered.</w:t>
            </w:r>
          </w:p>
          <w:p w14:paraId="2E905AEC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14:paraId="72FCC8E7" w14:textId="0908BA61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B35BAF">
              <w:rPr>
                <w:rFonts w:ascii="Cambria" w:eastAsia="Times New Roman" w:hAnsi="Cambria" w:cs="Times New Roman"/>
                <w:sz w:val="20"/>
                <w:szCs w:val="20"/>
              </w:rPr>
              <w:t>Total number of women aged 15-19 who had a baby in the last two years whose husbands/partners were not present in the room during delivery</w:t>
            </w:r>
          </w:p>
        </w:tc>
      </w:tr>
      <w:tr w:rsidR="00B35BAF" w:rsidRPr="00116785" w14:paraId="6587E095" w14:textId="77777777" w:rsidTr="00A01975">
        <w:trPr>
          <w:trHeight w:val="1920"/>
        </w:trPr>
        <w:tc>
          <w:tcPr>
            <w:tcW w:w="1982" w:type="dxa"/>
            <w:shd w:val="clear" w:color="auto" w:fill="FBE4D5" w:themeFill="accent2" w:themeFillTint="33"/>
          </w:tcPr>
          <w:p w14:paraId="2A10D908" w14:textId="37546B84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</w:t>
            </w:r>
            <w:r w:rsidRPr="00B35BAF">
              <w:rPr>
                <w:rFonts w:ascii="Cambria" w:hAnsi="Cambria"/>
                <w:sz w:val="20"/>
                <w:szCs w:val="20"/>
              </w:rPr>
              <w:t xml:space="preserve">usband/partner to be present in the room during any pert of </w:t>
            </w:r>
            <w:proofErr w:type="spellStart"/>
            <w:r w:rsidRPr="00B35BAF">
              <w:rPr>
                <w:rFonts w:ascii="Cambria" w:hAnsi="Cambria"/>
                <w:sz w:val="20"/>
                <w:szCs w:val="20"/>
              </w:rPr>
              <w:t>labour</w:t>
            </w:r>
            <w:proofErr w:type="spellEnd"/>
            <w:r w:rsidRPr="00B35BAF">
              <w:rPr>
                <w:rFonts w:ascii="Cambria" w:hAnsi="Cambria"/>
                <w:sz w:val="20"/>
                <w:szCs w:val="20"/>
              </w:rPr>
              <w:t xml:space="preserve"> or delivery.  </w:t>
            </w:r>
          </w:p>
        </w:tc>
        <w:tc>
          <w:tcPr>
            <w:tcW w:w="2428" w:type="dxa"/>
            <w:shd w:val="clear" w:color="auto" w:fill="FBE4D5" w:themeFill="accent2" w:themeFillTint="33"/>
          </w:tcPr>
          <w:p w14:paraId="6362C007" w14:textId="3C6AA8B8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B35BAF">
              <w:rPr>
                <w:rFonts w:ascii="Cambria" w:hAnsi="Cambria"/>
                <w:sz w:val="20"/>
                <w:szCs w:val="20"/>
              </w:rPr>
              <w:t xml:space="preserve">Percentage of women age 15-49 who wanted their husband/partner to be present in the room during any pert of </w:t>
            </w:r>
            <w:proofErr w:type="spellStart"/>
            <w:r w:rsidRPr="00B35BAF">
              <w:rPr>
                <w:rFonts w:ascii="Cambria" w:hAnsi="Cambria"/>
                <w:sz w:val="20"/>
                <w:szCs w:val="20"/>
              </w:rPr>
              <w:t>labour</w:t>
            </w:r>
            <w:proofErr w:type="spellEnd"/>
            <w:r w:rsidRPr="00B35BAF">
              <w:rPr>
                <w:rFonts w:ascii="Cambria" w:hAnsi="Cambria"/>
                <w:sz w:val="20"/>
                <w:szCs w:val="20"/>
              </w:rPr>
              <w:t xml:space="preserve"> or delivery.  </w:t>
            </w:r>
          </w:p>
        </w:tc>
        <w:tc>
          <w:tcPr>
            <w:tcW w:w="2700" w:type="dxa"/>
            <w:shd w:val="clear" w:color="auto" w:fill="FBE4D5" w:themeFill="accent2" w:themeFillTint="33"/>
          </w:tcPr>
          <w:p w14:paraId="5E6DA841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BE4D5" w:themeFill="accent2" w:themeFillTint="33"/>
          </w:tcPr>
          <w:p w14:paraId="2FDCAC0B" w14:textId="62D77C66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B35BA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Number of women </w:t>
            </w:r>
            <w:r w:rsidRPr="00B35BAF">
              <w:rPr>
                <w:rFonts w:ascii="Cambria" w:hAnsi="Cambria"/>
                <w:sz w:val="20"/>
                <w:szCs w:val="20"/>
              </w:rPr>
              <w:t xml:space="preserve">age 15-49 who wanted their husband/partner to be present in the room during any part of </w:t>
            </w:r>
            <w:proofErr w:type="spellStart"/>
            <w:r w:rsidRPr="00B35BAF">
              <w:rPr>
                <w:rFonts w:ascii="Cambria" w:hAnsi="Cambria"/>
                <w:sz w:val="20"/>
                <w:szCs w:val="20"/>
              </w:rPr>
              <w:t>labour</w:t>
            </w:r>
            <w:proofErr w:type="spellEnd"/>
            <w:r w:rsidRPr="00B35BAF">
              <w:rPr>
                <w:rFonts w:ascii="Cambria" w:hAnsi="Cambria"/>
                <w:sz w:val="20"/>
                <w:szCs w:val="20"/>
              </w:rPr>
              <w:t xml:space="preserve"> or delivery.</w:t>
            </w:r>
          </w:p>
        </w:tc>
        <w:tc>
          <w:tcPr>
            <w:tcW w:w="4050" w:type="dxa"/>
            <w:shd w:val="clear" w:color="auto" w:fill="FBE4D5" w:themeFill="accent2" w:themeFillTint="33"/>
          </w:tcPr>
          <w:p w14:paraId="3FC0E116" w14:textId="7FCC41EC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B35BAF">
              <w:rPr>
                <w:rFonts w:ascii="Cambria" w:eastAsia="Times New Roman" w:hAnsi="Cambria" w:cs="Times New Roman"/>
                <w:sz w:val="20"/>
                <w:szCs w:val="20"/>
              </w:rPr>
              <w:t>Total number of women aged 15-19 who had a baby in the last two years whose husbands/partners were not present in the room during delivery</w:t>
            </w:r>
          </w:p>
        </w:tc>
      </w:tr>
      <w:tr w:rsidR="00B35BAF" w:rsidRPr="00116785" w14:paraId="2CF3B6BE" w14:textId="4227A32C" w:rsidTr="00A01975">
        <w:trPr>
          <w:trHeight w:val="320"/>
        </w:trPr>
        <w:tc>
          <w:tcPr>
            <w:tcW w:w="14490" w:type="dxa"/>
            <w:gridSpan w:val="5"/>
            <w:shd w:val="clear" w:color="000000" w:fill="A9D08E"/>
            <w:hideMark/>
          </w:tcPr>
          <w:p w14:paraId="27A445DE" w14:textId="4FA0785C" w:rsidR="00B35BAF" w:rsidRPr="00116785" w:rsidRDefault="00B35BAF" w:rsidP="00B35BAF">
            <w:pPr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</w:rPr>
              <w:t>Access to Resources</w:t>
            </w:r>
          </w:p>
          <w:p w14:paraId="266C89EB" w14:textId="1F7D5EA3" w:rsidR="00B35BAF" w:rsidRPr="00116785" w:rsidRDefault="00B35BAF" w:rsidP="00B35BAF">
            <w:pPr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5BAF" w:rsidRPr="00116785" w14:paraId="6453CEFF" w14:textId="24814373" w:rsidTr="00A01975">
        <w:trPr>
          <w:trHeight w:val="1600"/>
        </w:trPr>
        <w:tc>
          <w:tcPr>
            <w:tcW w:w="1982" w:type="dxa"/>
            <w:shd w:val="clear" w:color="auto" w:fill="auto"/>
            <w:hideMark/>
          </w:tcPr>
          <w:p w14:paraId="1CB6749D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Employment in the last 7 days</w:t>
            </w:r>
          </w:p>
        </w:tc>
        <w:tc>
          <w:tcPr>
            <w:tcW w:w="2428" w:type="dxa"/>
            <w:shd w:val="clear" w:color="auto" w:fill="auto"/>
            <w:hideMark/>
          </w:tcPr>
          <w:p w14:paraId="1EA4597E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Percentage of women age 15-49 who have done any work in the last 7 days</w:t>
            </w:r>
          </w:p>
        </w:tc>
        <w:tc>
          <w:tcPr>
            <w:tcW w:w="2700" w:type="dxa"/>
            <w:shd w:val="clear" w:color="auto" w:fill="auto"/>
            <w:hideMark/>
          </w:tcPr>
          <w:p w14:paraId="220A01EE" w14:textId="3DAD0E56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Includes work at home or outside of the home. This indicator does not include housework that the respondent does herself.</w:t>
            </w:r>
          </w:p>
        </w:tc>
        <w:tc>
          <w:tcPr>
            <w:tcW w:w="3330" w:type="dxa"/>
            <w:shd w:val="clear" w:color="auto" w:fill="auto"/>
            <w:hideMark/>
          </w:tcPr>
          <w:p w14:paraId="74F8C20D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Number of women 15-49 years of age who were employed either at home or outside of the home at any time in the last 7 days</w:t>
            </w:r>
          </w:p>
        </w:tc>
        <w:tc>
          <w:tcPr>
            <w:tcW w:w="4050" w:type="dxa"/>
            <w:shd w:val="clear" w:color="auto" w:fill="auto"/>
            <w:hideMark/>
          </w:tcPr>
          <w:p w14:paraId="06396E94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Total number of women aged 15-49 years surveyed</w:t>
            </w:r>
          </w:p>
        </w:tc>
      </w:tr>
      <w:tr w:rsidR="00B35BAF" w:rsidRPr="00116785" w14:paraId="60C39667" w14:textId="7CB26E48" w:rsidTr="00A01975">
        <w:trPr>
          <w:trHeight w:val="1600"/>
        </w:trPr>
        <w:tc>
          <w:tcPr>
            <w:tcW w:w="1982" w:type="dxa"/>
            <w:shd w:val="clear" w:color="auto" w:fill="E2EFD9" w:themeFill="accent6" w:themeFillTint="33"/>
            <w:hideMark/>
          </w:tcPr>
          <w:p w14:paraId="7E39056B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Employment in the past 12 months</w:t>
            </w:r>
          </w:p>
        </w:tc>
        <w:tc>
          <w:tcPr>
            <w:tcW w:w="2428" w:type="dxa"/>
            <w:shd w:val="clear" w:color="auto" w:fill="E2EFD9" w:themeFill="accent6" w:themeFillTint="33"/>
            <w:hideMark/>
          </w:tcPr>
          <w:p w14:paraId="6C91D294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Percentage of women age 15-49 who have done any work at any time in the past 12 months</w:t>
            </w:r>
          </w:p>
        </w:tc>
        <w:tc>
          <w:tcPr>
            <w:tcW w:w="2700" w:type="dxa"/>
            <w:shd w:val="clear" w:color="auto" w:fill="E2EFD9" w:themeFill="accent6" w:themeFillTint="33"/>
            <w:hideMark/>
          </w:tcPr>
          <w:p w14:paraId="31486995" w14:textId="3DF0E3CB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Includes work at home or outside of the home. This indicator does not include housework that the respondent does herself.</w:t>
            </w:r>
          </w:p>
        </w:tc>
        <w:tc>
          <w:tcPr>
            <w:tcW w:w="3330" w:type="dxa"/>
            <w:shd w:val="clear" w:color="auto" w:fill="E2EFD9" w:themeFill="accent6" w:themeFillTint="33"/>
            <w:hideMark/>
          </w:tcPr>
          <w:p w14:paraId="42074FAC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Number of women 15-49 years of age who have done any work either at home or outside of the home at any time in the past 12 months</w:t>
            </w:r>
          </w:p>
        </w:tc>
        <w:tc>
          <w:tcPr>
            <w:tcW w:w="4050" w:type="dxa"/>
            <w:shd w:val="clear" w:color="auto" w:fill="E2EFD9" w:themeFill="accent6" w:themeFillTint="33"/>
            <w:hideMark/>
          </w:tcPr>
          <w:p w14:paraId="2D884B75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Total number of women aged 15-49 years surveyed</w:t>
            </w:r>
          </w:p>
        </w:tc>
      </w:tr>
      <w:tr w:rsidR="00B35BAF" w:rsidRPr="00116785" w14:paraId="2F748712" w14:textId="2D51BA78" w:rsidTr="00A01975">
        <w:trPr>
          <w:trHeight w:val="1280"/>
        </w:trPr>
        <w:tc>
          <w:tcPr>
            <w:tcW w:w="1982" w:type="dxa"/>
            <w:shd w:val="clear" w:color="auto" w:fill="auto"/>
            <w:hideMark/>
          </w:tcPr>
          <w:p w14:paraId="4A6DD186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Cash earnings</w:t>
            </w:r>
          </w:p>
        </w:tc>
        <w:tc>
          <w:tcPr>
            <w:tcW w:w="2428" w:type="dxa"/>
            <w:shd w:val="clear" w:color="auto" w:fill="auto"/>
            <w:hideMark/>
          </w:tcPr>
          <w:p w14:paraId="720BCEEE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Percentage of women age 15-49 who earned cash for work at any time in the past 12 months</w:t>
            </w:r>
          </w:p>
        </w:tc>
        <w:tc>
          <w:tcPr>
            <w:tcW w:w="2700" w:type="dxa"/>
            <w:shd w:val="clear" w:color="auto" w:fill="auto"/>
            <w:hideMark/>
          </w:tcPr>
          <w:p w14:paraId="4A0E64B7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Includes work done at home or outside of the home that was paid either in 'cash only' or 'cash and in kind'.</w:t>
            </w:r>
          </w:p>
        </w:tc>
        <w:tc>
          <w:tcPr>
            <w:tcW w:w="3330" w:type="dxa"/>
            <w:shd w:val="clear" w:color="auto" w:fill="auto"/>
            <w:hideMark/>
          </w:tcPr>
          <w:p w14:paraId="253A9BD2" w14:textId="58385EC3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Number of women 15-49 years of age earning cash for work either at home or outside of the home at any time in the past 12 months</w:t>
            </w:r>
          </w:p>
        </w:tc>
        <w:tc>
          <w:tcPr>
            <w:tcW w:w="4050" w:type="dxa"/>
            <w:shd w:val="clear" w:color="auto" w:fill="auto"/>
            <w:hideMark/>
          </w:tcPr>
          <w:p w14:paraId="54788AE0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Total number of women aged 15-49 years surveyed who were employed at any time in the past 12 months</w:t>
            </w:r>
          </w:p>
        </w:tc>
      </w:tr>
      <w:tr w:rsidR="00B35BAF" w:rsidRPr="00116785" w14:paraId="45DEF5F3" w14:textId="35A07638" w:rsidTr="00A01975">
        <w:trPr>
          <w:trHeight w:val="1280"/>
        </w:trPr>
        <w:tc>
          <w:tcPr>
            <w:tcW w:w="1982" w:type="dxa"/>
            <w:shd w:val="clear" w:color="auto" w:fill="E2EFD9" w:themeFill="accent6" w:themeFillTint="33"/>
            <w:hideMark/>
          </w:tcPr>
          <w:p w14:paraId="246E9342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lastRenderedPageBreak/>
              <w:t xml:space="preserve">Use of bank accounts </w:t>
            </w:r>
          </w:p>
        </w:tc>
        <w:tc>
          <w:tcPr>
            <w:tcW w:w="2428" w:type="dxa"/>
            <w:shd w:val="clear" w:color="auto" w:fill="E2EFD9" w:themeFill="accent6" w:themeFillTint="33"/>
            <w:hideMark/>
          </w:tcPr>
          <w:p w14:paraId="41141D06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Percentage of women age 15-49 who use an account in a bank or other savings institution</w:t>
            </w:r>
          </w:p>
        </w:tc>
        <w:tc>
          <w:tcPr>
            <w:tcW w:w="2700" w:type="dxa"/>
            <w:shd w:val="clear" w:color="auto" w:fill="E2EFD9" w:themeFill="accent6" w:themeFillTint="33"/>
            <w:hideMark/>
          </w:tcPr>
          <w:p w14:paraId="3BAA450C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 xml:space="preserve">Includes use of a bank account or other savings institution that is in her own name or is named jointly with someone else. </w:t>
            </w:r>
          </w:p>
        </w:tc>
        <w:tc>
          <w:tcPr>
            <w:tcW w:w="3330" w:type="dxa"/>
            <w:shd w:val="clear" w:color="auto" w:fill="E2EFD9" w:themeFill="accent6" w:themeFillTint="33"/>
            <w:hideMark/>
          </w:tcPr>
          <w:p w14:paraId="0E27BD59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Number of women 15-49 years of age who use an account in a bank or other savings institution in her own name or jointly with someone else</w:t>
            </w:r>
          </w:p>
        </w:tc>
        <w:tc>
          <w:tcPr>
            <w:tcW w:w="4050" w:type="dxa"/>
            <w:shd w:val="clear" w:color="auto" w:fill="E2EFD9" w:themeFill="accent6" w:themeFillTint="33"/>
            <w:hideMark/>
          </w:tcPr>
          <w:p w14:paraId="2597A699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Total number of women aged 15-49 years surveyed</w:t>
            </w:r>
          </w:p>
        </w:tc>
      </w:tr>
      <w:tr w:rsidR="00B35BAF" w:rsidRPr="00116785" w14:paraId="03149EED" w14:textId="34483230" w:rsidTr="00A01975">
        <w:trPr>
          <w:trHeight w:val="640"/>
        </w:trPr>
        <w:tc>
          <w:tcPr>
            <w:tcW w:w="1982" w:type="dxa"/>
            <w:shd w:val="clear" w:color="auto" w:fill="auto"/>
            <w:hideMark/>
          </w:tcPr>
          <w:p w14:paraId="158E583A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Ownership of a mobile phone</w:t>
            </w:r>
          </w:p>
        </w:tc>
        <w:tc>
          <w:tcPr>
            <w:tcW w:w="2428" w:type="dxa"/>
            <w:shd w:val="clear" w:color="auto" w:fill="auto"/>
            <w:hideMark/>
          </w:tcPr>
          <w:p w14:paraId="10DB6098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 xml:space="preserve">Percentage of women age 15-49 who own a mobile phone </w:t>
            </w:r>
          </w:p>
        </w:tc>
        <w:tc>
          <w:tcPr>
            <w:tcW w:w="2700" w:type="dxa"/>
            <w:shd w:val="clear" w:color="auto" w:fill="auto"/>
            <w:hideMark/>
          </w:tcPr>
          <w:p w14:paraId="4B15718C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14:paraId="10B1E8E5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Number of women 15-49 years of age who own a mobile phone</w:t>
            </w:r>
          </w:p>
        </w:tc>
        <w:tc>
          <w:tcPr>
            <w:tcW w:w="4050" w:type="dxa"/>
            <w:shd w:val="clear" w:color="auto" w:fill="auto"/>
            <w:hideMark/>
          </w:tcPr>
          <w:p w14:paraId="14405549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Total number of women aged 15-49 years surveyed</w:t>
            </w:r>
          </w:p>
        </w:tc>
      </w:tr>
      <w:tr w:rsidR="00B35BAF" w:rsidRPr="00116785" w14:paraId="3FEE18D7" w14:textId="11A0A1B8" w:rsidTr="00A01975">
        <w:trPr>
          <w:trHeight w:val="960"/>
        </w:trPr>
        <w:tc>
          <w:tcPr>
            <w:tcW w:w="1982" w:type="dxa"/>
            <w:shd w:val="clear" w:color="auto" w:fill="E2EFD9" w:themeFill="accent6" w:themeFillTint="33"/>
            <w:hideMark/>
          </w:tcPr>
          <w:p w14:paraId="49218F90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Use of mobile phone for financial transactions</w:t>
            </w:r>
          </w:p>
        </w:tc>
        <w:tc>
          <w:tcPr>
            <w:tcW w:w="2428" w:type="dxa"/>
            <w:shd w:val="clear" w:color="auto" w:fill="E2EFD9" w:themeFill="accent6" w:themeFillTint="33"/>
            <w:hideMark/>
          </w:tcPr>
          <w:p w14:paraId="278D5A43" w14:textId="1E37739E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Percentage of women age 15-49 who own a mobile phone and use it for financial transactions</w:t>
            </w:r>
          </w:p>
        </w:tc>
        <w:tc>
          <w:tcPr>
            <w:tcW w:w="2700" w:type="dxa"/>
            <w:shd w:val="clear" w:color="auto" w:fill="E2EFD9" w:themeFill="accent6" w:themeFillTint="33"/>
            <w:hideMark/>
          </w:tcPr>
          <w:p w14:paraId="74CC89BD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E2EFD9" w:themeFill="accent6" w:themeFillTint="33"/>
            <w:hideMark/>
          </w:tcPr>
          <w:p w14:paraId="65CD09D9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Number of women 15-49 who own a mobile phone and use it for financial transactions</w:t>
            </w:r>
          </w:p>
        </w:tc>
        <w:tc>
          <w:tcPr>
            <w:tcW w:w="4050" w:type="dxa"/>
            <w:shd w:val="clear" w:color="auto" w:fill="E2EFD9" w:themeFill="accent6" w:themeFillTint="33"/>
            <w:hideMark/>
          </w:tcPr>
          <w:p w14:paraId="05FFC325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Total number of women aged 15-49 years who own a mobile phone</w:t>
            </w:r>
          </w:p>
        </w:tc>
      </w:tr>
      <w:tr w:rsidR="00B35BAF" w:rsidRPr="00116785" w14:paraId="263B1B30" w14:textId="77777777" w:rsidTr="00B35BAF">
        <w:trPr>
          <w:trHeight w:val="960"/>
        </w:trPr>
        <w:tc>
          <w:tcPr>
            <w:tcW w:w="1982" w:type="dxa"/>
            <w:shd w:val="clear" w:color="auto" w:fill="FFFFFF" w:themeFill="background1"/>
          </w:tcPr>
          <w:p w14:paraId="22B25E5C" w14:textId="29B07155" w:rsidR="00B35BAF" w:rsidRDefault="00B35BAF" w:rsidP="00B35BAF">
            <w:pPr>
              <w:spacing w:before="120" w:after="120" w:line="259" w:lineRule="auto"/>
              <w:contextualSpacing/>
            </w:pPr>
            <w:r>
              <w:t>H</w:t>
            </w:r>
            <w:r>
              <w:t>usband/partner</w:t>
            </w:r>
            <w:r w:rsidRPr="00E81F0F">
              <w:t xml:space="preserve"> ha</w:t>
            </w:r>
            <w:r>
              <w:t>s</w:t>
            </w:r>
            <w:r w:rsidRPr="00E81F0F">
              <w:t xml:space="preserve"> done any work in the last 7 days</w:t>
            </w:r>
          </w:p>
          <w:p w14:paraId="7CE67E5A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FFFFFF" w:themeFill="background1"/>
          </w:tcPr>
          <w:p w14:paraId="318A332A" w14:textId="03E055A6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FC3286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Percentage of women age 15-49 whose husband/partner has done any work in the last 7 days</w:t>
            </w:r>
          </w:p>
        </w:tc>
        <w:tc>
          <w:tcPr>
            <w:tcW w:w="2700" w:type="dxa"/>
            <w:shd w:val="clear" w:color="auto" w:fill="FFFFFF" w:themeFill="background1"/>
          </w:tcPr>
          <w:p w14:paraId="1DD99E76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40A0E44B" w14:textId="7E0A731A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FC3286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Number of women 15-49 years of age whose husband/partner were employed in the last 7 days</w:t>
            </w:r>
          </w:p>
        </w:tc>
        <w:tc>
          <w:tcPr>
            <w:tcW w:w="4050" w:type="dxa"/>
            <w:shd w:val="clear" w:color="auto" w:fill="FFFFFF" w:themeFill="background1"/>
          </w:tcPr>
          <w:p w14:paraId="7762D966" w14:textId="4D91758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FC3286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Total number of women aged 15-49 years surveyed</w:t>
            </w:r>
          </w:p>
        </w:tc>
      </w:tr>
      <w:tr w:rsidR="00B35BAF" w:rsidRPr="00116785" w14:paraId="6A7F6E6E" w14:textId="77777777" w:rsidTr="00A01975">
        <w:trPr>
          <w:trHeight w:val="960"/>
        </w:trPr>
        <w:tc>
          <w:tcPr>
            <w:tcW w:w="1982" w:type="dxa"/>
            <w:shd w:val="clear" w:color="auto" w:fill="E2EFD9" w:themeFill="accent6" w:themeFillTint="33"/>
          </w:tcPr>
          <w:p w14:paraId="0B05108E" w14:textId="445E487E" w:rsidR="00B35BAF" w:rsidRPr="00E81F0F" w:rsidRDefault="00B35BAF" w:rsidP="00B35BAF">
            <w:pPr>
              <w:spacing w:before="120" w:after="120" w:line="259" w:lineRule="auto"/>
              <w:contextualSpacing/>
            </w:pPr>
            <w:r>
              <w:t>H</w:t>
            </w:r>
            <w:r>
              <w:t>usband/partner</w:t>
            </w:r>
            <w:r w:rsidRPr="00E81F0F">
              <w:t xml:space="preserve"> ha</w:t>
            </w:r>
            <w:r>
              <w:t>s</w:t>
            </w:r>
            <w:r w:rsidRPr="00E81F0F">
              <w:t xml:space="preserve"> done any work in the past 12 months</w:t>
            </w:r>
          </w:p>
          <w:p w14:paraId="4888CBED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E2EFD9" w:themeFill="accent6" w:themeFillTint="33"/>
          </w:tcPr>
          <w:p w14:paraId="43041DE9" w14:textId="52B5BE65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FC3286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Percentage of women age 15-49 whose husband/partner has done any work in the past 12 months</w:t>
            </w:r>
          </w:p>
        </w:tc>
        <w:tc>
          <w:tcPr>
            <w:tcW w:w="2700" w:type="dxa"/>
            <w:shd w:val="clear" w:color="auto" w:fill="E2EFD9" w:themeFill="accent6" w:themeFillTint="33"/>
          </w:tcPr>
          <w:p w14:paraId="0FFC532E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E2EFD9" w:themeFill="accent6" w:themeFillTint="33"/>
          </w:tcPr>
          <w:p w14:paraId="5E0FD5E3" w14:textId="6A0679D0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FC3286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Number of women 15-49 years of age whose husband/partner were employed in the past 12 months</w:t>
            </w:r>
          </w:p>
        </w:tc>
        <w:tc>
          <w:tcPr>
            <w:tcW w:w="4050" w:type="dxa"/>
            <w:shd w:val="clear" w:color="auto" w:fill="E2EFD9" w:themeFill="accent6" w:themeFillTint="33"/>
          </w:tcPr>
          <w:p w14:paraId="208D5EED" w14:textId="775E92A3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FC3286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Total number of women aged 15-49 years surveyed</w:t>
            </w:r>
          </w:p>
        </w:tc>
      </w:tr>
      <w:tr w:rsidR="00B35BAF" w:rsidRPr="00116785" w14:paraId="43226238" w14:textId="02057C5A" w:rsidTr="00A01975">
        <w:trPr>
          <w:trHeight w:val="320"/>
        </w:trPr>
        <w:tc>
          <w:tcPr>
            <w:tcW w:w="14490" w:type="dxa"/>
            <w:gridSpan w:val="5"/>
            <w:shd w:val="clear" w:color="000000" w:fill="9BC2E6"/>
            <w:hideMark/>
          </w:tcPr>
          <w:p w14:paraId="374D0185" w14:textId="6F4C2BC7" w:rsidR="00B35BAF" w:rsidRPr="00116785" w:rsidRDefault="00B35BAF" w:rsidP="00B35BAF">
            <w:pPr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</w:rPr>
              <w:t>Decision-Making</w:t>
            </w:r>
          </w:p>
          <w:p w14:paraId="7D2D04E9" w14:textId="2A772180" w:rsidR="00B35BAF" w:rsidRPr="00116785" w:rsidRDefault="00B35BAF" w:rsidP="00B35BAF">
            <w:pPr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5BAF" w:rsidRPr="00116785" w14:paraId="7CA16262" w14:textId="7B60AEE0" w:rsidTr="00FC3286">
        <w:trPr>
          <w:trHeight w:val="2240"/>
        </w:trPr>
        <w:tc>
          <w:tcPr>
            <w:tcW w:w="1982" w:type="dxa"/>
            <w:shd w:val="clear" w:color="auto" w:fill="auto"/>
          </w:tcPr>
          <w:p w14:paraId="191ED6B0" w14:textId="75100056" w:rsidR="00B35BAF" w:rsidRPr="000300A9" w:rsidRDefault="00B35BAF" w:rsidP="00B35BAF">
            <w:pPr>
              <w:spacing w:before="120" w:after="120" w:line="259" w:lineRule="auto"/>
              <w:contextualSpacing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0300A9">
              <w:rPr>
                <w:rFonts w:ascii="Cambria" w:hAnsi="Cambria"/>
                <w:sz w:val="20"/>
                <w:szCs w:val="20"/>
              </w:rPr>
              <w:t>Decision-making on not attending antenatal care</w:t>
            </w:r>
          </w:p>
        </w:tc>
        <w:tc>
          <w:tcPr>
            <w:tcW w:w="2428" w:type="dxa"/>
            <w:shd w:val="clear" w:color="auto" w:fill="auto"/>
          </w:tcPr>
          <w:p w14:paraId="5693078B" w14:textId="77777777" w:rsidR="00B35BAF" w:rsidRPr="000300A9" w:rsidRDefault="00B35BAF" w:rsidP="00B35BAF">
            <w:pPr>
              <w:spacing w:before="120" w:after="120" w:line="259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0300A9">
              <w:rPr>
                <w:rFonts w:ascii="Cambria" w:hAnsi="Cambria"/>
                <w:sz w:val="20"/>
                <w:szCs w:val="20"/>
              </w:rPr>
              <w:t xml:space="preserve">Percentage of women age 15-19 who mainly make decisions about not attending antenatal care </w:t>
            </w:r>
          </w:p>
          <w:p w14:paraId="4F1ED755" w14:textId="4BFBFDC1" w:rsidR="00B35BAF" w:rsidRPr="000300A9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6D37B6F6" w14:textId="13735E79" w:rsidR="00B35BAF" w:rsidRPr="000300A9" w:rsidRDefault="00B35BAF" w:rsidP="00B35BAF">
            <w:pPr>
              <w:ind w:left="360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45A6984F" w14:textId="77777777" w:rsidR="00B35BAF" w:rsidRPr="000300A9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0300A9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Number of women 15-49 years of age who make decisions alone or jointly with their husband/partner about not attending antenatal care</w:t>
            </w:r>
          </w:p>
          <w:p w14:paraId="0D72E877" w14:textId="3A0CADC6" w:rsidR="00B35BAF" w:rsidRPr="000300A9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0C4CE2B1" w14:textId="0D612679" w:rsidR="00B35BAF" w:rsidRPr="000300A9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0300A9">
              <w:rPr>
                <w:rFonts w:ascii="Cambria" w:eastAsia="Times New Roman" w:hAnsi="Cambria" w:cs="Times New Roman"/>
                <w:sz w:val="20"/>
                <w:szCs w:val="20"/>
              </w:rPr>
              <w:t>Total number of women aged 15-49 years surveyed</w:t>
            </w:r>
          </w:p>
        </w:tc>
      </w:tr>
      <w:tr w:rsidR="00B35BAF" w:rsidRPr="00116785" w14:paraId="378A9888" w14:textId="77777777" w:rsidTr="00B35BAF">
        <w:trPr>
          <w:trHeight w:val="2240"/>
        </w:trPr>
        <w:tc>
          <w:tcPr>
            <w:tcW w:w="1982" w:type="dxa"/>
            <w:shd w:val="clear" w:color="auto" w:fill="DEEAF6" w:themeFill="accent5" w:themeFillTint="33"/>
          </w:tcPr>
          <w:p w14:paraId="383798A2" w14:textId="444E65C1" w:rsidR="00B35BAF" w:rsidRPr="000300A9" w:rsidRDefault="00B35BAF" w:rsidP="00B35BAF">
            <w:pPr>
              <w:spacing w:before="120" w:after="120" w:line="259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0300A9">
              <w:rPr>
                <w:rFonts w:ascii="Cambria" w:hAnsi="Cambria"/>
                <w:sz w:val="20"/>
                <w:szCs w:val="20"/>
              </w:rPr>
              <w:lastRenderedPageBreak/>
              <w:t xml:space="preserve">Decision-making on attending </w:t>
            </w:r>
            <w:r>
              <w:rPr>
                <w:rFonts w:ascii="Cambria" w:hAnsi="Cambria"/>
                <w:sz w:val="20"/>
                <w:szCs w:val="20"/>
              </w:rPr>
              <w:t>antenatal</w:t>
            </w:r>
            <w:r w:rsidRPr="000300A9">
              <w:rPr>
                <w:rFonts w:ascii="Cambria" w:hAnsi="Cambria"/>
                <w:sz w:val="20"/>
                <w:szCs w:val="20"/>
              </w:rPr>
              <w:t xml:space="preserve"> care</w:t>
            </w:r>
          </w:p>
        </w:tc>
        <w:tc>
          <w:tcPr>
            <w:tcW w:w="2428" w:type="dxa"/>
            <w:shd w:val="clear" w:color="auto" w:fill="DEEAF6" w:themeFill="accent5" w:themeFillTint="33"/>
          </w:tcPr>
          <w:p w14:paraId="47E750D3" w14:textId="723F7051" w:rsidR="00B35BAF" w:rsidRPr="000300A9" w:rsidRDefault="00B35BAF" w:rsidP="00B35BAF">
            <w:pPr>
              <w:spacing w:before="120" w:after="120" w:line="259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0300A9">
              <w:rPr>
                <w:rFonts w:ascii="Cambria" w:hAnsi="Cambria"/>
                <w:sz w:val="20"/>
                <w:szCs w:val="20"/>
              </w:rPr>
              <w:t>Percentage of women age 15-19 who mainly make decisions about attending antenatal care</w:t>
            </w:r>
          </w:p>
        </w:tc>
        <w:tc>
          <w:tcPr>
            <w:tcW w:w="2700" w:type="dxa"/>
            <w:shd w:val="clear" w:color="auto" w:fill="DEEAF6" w:themeFill="accent5" w:themeFillTint="33"/>
          </w:tcPr>
          <w:p w14:paraId="10147D8E" w14:textId="77777777" w:rsidR="00B35BAF" w:rsidRPr="000300A9" w:rsidRDefault="00B35BAF" w:rsidP="00B35BAF">
            <w:pPr>
              <w:ind w:left="360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EEAF6" w:themeFill="accent5" w:themeFillTint="33"/>
          </w:tcPr>
          <w:p w14:paraId="7D216E53" w14:textId="4C0A9C92" w:rsidR="00B35BAF" w:rsidRPr="000300A9" w:rsidRDefault="00B35BAF" w:rsidP="00B35BAF">
            <w:pPr>
              <w:spacing w:before="120" w:after="120" w:line="259" w:lineRule="auto"/>
              <w:contextualSpacing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300A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Number of women 15-49 years of age who make decisions alone or jointly with their husband/partner about attending antenatal car</w:t>
            </w:r>
            <w:r w:rsidRPr="000300A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4050" w:type="dxa"/>
            <w:shd w:val="clear" w:color="auto" w:fill="DEEAF6" w:themeFill="accent5" w:themeFillTint="33"/>
          </w:tcPr>
          <w:p w14:paraId="069259C5" w14:textId="6B943873" w:rsidR="00B35BAF" w:rsidRPr="000300A9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0300A9">
              <w:rPr>
                <w:rFonts w:ascii="Cambria" w:eastAsia="Times New Roman" w:hAnsi="Cambria" w:cs="Times New Roman"/>
                <w:sz w:val="20"/>
                <w:szCs w:val="20"/>
              </w:rPr>
              <w:t>Total number of women aged 15-49 years surveyed</w:t>
            </w:r>
          </w:p>
        </w:tc>
      </w:tr>
      <w:tr w:rsidR="00B35BAF" w:rsidRPr="00116785" w14:paraId="03C0645E" w14:textId="77777777" w:rsidTr="00FC3286">
        <w:trPr>
          <w:trHeight w:val="2240"/>
        </w:trPr>
        <w:tc>
          <w:tcPr>
            <w:tcW w:w="1982" w:type="dxa"/>
            <w:shd w:val="clear" w:color="auto" w:fill="auto"/>
          </w:tcPr>
          <w:p w14:paraId="01B93291" w14:textId="7E077AF2" w:rsidR="00B35BAF" w:rsidRPr="000300A9" w:rsidRDefault="00B35BAF" w:rsidP="00B35BAF">
            <w:pPr>
              <w:spacing w:before="120" w:after="120" w:line="259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0300A9">
              <w:rPr>
                <w:rFonts w:ascii="Cambria" w:hAnsi="Cambria"/>
                <w:sz w:val="20"/>
                <w:szCs w:val="20"/>
              </w:rPr>
              <w:t>Decision-making about delivering in a health facility</w:t>
            </w:r>
          </w:p>
        </w:tc>
        <w:tc>
          <w:tcPr>
            <w:tcW w:w="2428" w:type="dxa"/>
            <w:shd w:val="clear" w:color="auto" w:fill="auto"/>
          </w:tcPr>
          <w:p w14:paraId="480BB868" w14:textId="77777777" w:rsidR="00B35BAF" w:rsidRPr="000300A9" w:rsidRDefault="00B35BAF" w:rsidP="00B35BAF">
            <w:pPr>
              <w:spacing w:before="120" w:after="120" w:line="259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0300A9">
              <w:rPr>
                <w:rFonts w:ascii="Cambria" w:hAnsi="Cambria"/>
                <w:sz w:val="20"/>
                <w:szCs w:val="20"/>
              </w:rPr>
              <w:t>Percentage of women age 15-19 who mainly make decisions about delivering in a health facility.</w:t>
            </w:r>
          </w:p>
          <w:p w14:paraId="38D589D7" w14:textId="77777777" w:rsidR="00B35BAF" w:rsidRPr="000300A9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7315DA8A" w14:textId="77777777" w:rsidR="00B35BAF" w:rsidRPr="000300A9" w:rsidRDefault="00B35BAF" w:rsidP="00B35BAF">
            <w:pPr>
              <w:ind w:left="360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286DE462" w14:textId="2C0557A3" w:rsidR="00B35BAF" w:rsidRPr="000300A9" w:rsidRDefault="00B35BAF" w:rsidP="00B35BAF">
            <w:pPr>
              <w:spacing w:before="120" w:after="120" w:line="259" w:lineRule="auto"/>
              <w:contextualSpacing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300A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Number of women 15-49 years of age who make decisions alone or jointly with their husband/partner about delivering in a health facility</w:t>
            </w:r>
            <w:r w:rsidRPr="000300A9">
              <w:rPr>
                <w:rFonts w:ascii="Cambria" w:eastAsia="Times New Roman" w:hAnsi="Cambria" w:cstheme="minorHAnsi"/>
                <w:sz w:val="20"/>
                <w:szCs w:val="20"/>
              </w:rPr>
              <w:tab/>
            </w:r>
          </w:p>
        </w:tc>
        <w:tc>
          <w:tcPr>
            <w:tcW w:w="4050" w:type="dxa"/>
            <w:shd w:val="clear" w:color="auto" w:fill="auto"/>
          </w:tcPr>
          <w:p w14:paraId="1ADF4E02" w14:textId="304689CA" w:rsidR="00B35BAF" w:rsidRPr="000300A9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0300A9">
              <w:rPr>
                <w:rFonts w:ascii="Cambria" w:eastAsia="Times New Roman" w:hAnsi="Cambria" w:cs="Times New Roman"/>
                <w:sz w:val="20"/>
                <w:szCs w:val="20"/>
              </w:rPr>
              <w:t>Total number of women aged 15-49 years surveyed</w:t>
            </w:r>
          </w:p>
        </w:tc>
      </w:tr>
      <w:tr w:rsidR="00B35BAF" w:rsidRPr="00116785" w14:paraId="1BB1EA9B" w14:textId="77777777" w:rsidTr="00B35BAF">
        <w:trPr>
          <w:trHeight w:val="2240"/>
        </w:trPr>
        <w:tc>
          <w:tcPr>
            <w:tcW w:w="1982" w:type="dxa"/>
            <w:shd w:val="clear" w:color="auto" w:fill="DEEAF6" w:themeFill="accent5" w:themeFillTint="33"/>
          </w:tcPr>
          <w:p w14:paraId="592190F4" w14:textId="49FC0897" w:rsidR="00B35BAF" w:rsidRPr="000300A9" w:rsidRDefault="00B35BAF" w:rsidP="00B35BAF">
            <w:pPr>
              <w:spacing w:before="120" w:after="120" w:line="259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0300A9">
              <w:rPr>
                <w:rFonts w:ascii="Cambria" w:hAnsi="Cambria"/>
                <w:sz w:val="20"/>
                <w:szCs w:val="20"/>
              </w:rPr>
              <w:t xml:space="preserve">Decision-making about delivering </w:t>
            </w:r>
            <w:r w:rsidRPr="000300A9">
              <w:rPr>
                <w:rFonts w:ascii="Cambria" w:hAnsi="Cambria"/>
                <w:sz w:val="20"/>
                <w:szCs w:val="20"/>
              </w:rPr>
              <w:t xml:space="preserve">not </w:t>
            </w:r>
            <w:r w:rsidRPr="000300A9">
              <w:rPr>
                <w:rFonts w:ascii="Cambria" w:hAnsi="Cambria"/>
                <w:sz w:val="20"/>
                <w:szCs w:val="20"/>
              </w:rPr>
              <w:t>in a health facility</w:t>
            </w:r>
          </w:p>
        </w:tc>
        <w:tc>
          <w:tcPr>
            <w:tcW w:w="2428" w:type="dxa"/>
            <w:shd w:val="clear" w:color="auto" w:fill="DEEAF6" w:themeFill="accent5" w:themeFillTint="33"/>
          </w:tcPr>
          <w:p w14:paraId="0BD858DE" w14:textId="77777777" w:rsidR="00B35BAF" w:rsidRPr="000300A9" w:rsidRDefault="00B35BAF" w:rsidP="00B35BAF">
            <w:pPr>
              <w:spacing w:before="120" w:after="120" w:line="259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0300A9">
              <w:rPr>
                <w:rFonts w:ascii="Cambria" w:hAnsi="Cambria"/>
                <w:sz w:val="20"/>
                <w:szCs w:val="20"/>
              </w:rPr>
              <w:t>Percentage of women age 15-19 who mainly make decisions about not delivering in a health facility.</w:t>
            </w:r>
          </w:p>
          <w:p w14:paraId="77C2C45E" w14:textId="77777777" w:rsidR="00B35BAF" w:rsidRPr="000300A9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EEAF6" w:themeFill="accent5" w:themeFillTint="33"/>
          </w:tcPr>
          <w:p w14:paraId="05F4414A" w14:textId="77777777" w:rsidR="00B35BAF" w:rsidRPr="000300A9" w:rsidRDefault="00B35BAF" w:rsidP="00B35BAF">
            <w:pPr>
              <w:ind w:left="360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EEAF6" w:themeFill="accent5" w:themeFillTint="33"/>
          </w:tcPr>
          <w:p w14:paraId="0F6E34A0" w14:textId="77777777" w:rsidR="00B35BAF" w:rsidRPr="000300A9" w:rsidRDefault="00B35BAF" w:rsidP="00B35BAF">
            <w:pPr>
              <w:spacing w:before="120" w:after="120" w:line="259" w:lineRule="auto"/>
              <w:contextualSpacing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300A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Number of women 15-49 years of age who make decisions alone or jointly with their husband/partner about not delivering in a health facility </w:t>
            </w:r>
          </w:p>
          <w:p w14:paraId="0679602B" w14:textId="77777777" w:rsidR="00B35BAF" w:rsidRPr="000300A9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DEEAF6" w:themeFill="accent5" w:themeFillTint="33"/>
          </w:tcPr>
          <w:p w14:paraId="796B1281" w14:textId="1D20E785" w:rsidR="00B35BAF" w:rsidRPr="000300A9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0300A9">
              <w:rPr>
                <w:rFonts w:ascii="Cambria" w:eastAsia="Times New Roman" w:hAnsi="Cambria" w:cs="Times New Roman"/>
                <w:sz w:val="20"/>
                <w:szCs w:val="20"/>
              </w:rPr>
              <w:t>Total number of women aged 15-49 years surveyed</w:t>
            </w:r>
          </w:p>
        </w:tc>
      </w:tr>
      <w:tr w:rsidR="00B35BAF" w:rsidRPr="00116785" w14:paraId="7E5A46D7" w14:textId="77777777" w:rsidTr="00A01975">
        <w:trPr>
          <w:trHeight w:val="2240"/>
        </w:trPr>
        <w:tc>
          <w:tcPr>
            <w:tcW w:w="1982" w:type="dxa"/>
            <w:shd w:val="clear" w:color="auto" w:fill="auto"/>
          </w:tcPr>
          <w:p w14:paraId="2A618C34" w14:textId="55926CEA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Decision-making on leaving the house</w:t>
            </w:r>
          </w:p>
        </w:tc>
        <w:tc>
          <w:tcPr>
            <w:tcW w:w="2428" w:type="dxa"/>
            <w:shd w:val="clear" w:color="auto" w:fill="auto"/>
          </w:tcPr>
          <w:p w14:paraId="7B4C7AF5" w14:textId="6D98FF20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Percentage of women age 15-49 who are usually permitted to go to specific places outside of their home alone</w:t>
            </w:r>
          </w:p>
        </w:tc>
        <w:tc>
          <w:tcPr>
            <w:tcW w:w="2700" w:type="dxa"/>
            <w:shd w:val="clear" w:color="auto" w:fill="auto"/>
          </w:tcPr>
          <w:p w14:paraId="40160190" w14:textId="218060F8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 xml:space="preserve">Women are considered 'usually permitted' if they report being able to go to 3 or more of the specified locations 'alone'. This indicator measures a woman’s autonomy to decide how she uses her time. </w:t>
            </w:r>
          </w:p>
        </w:tc>
        <w:tc>
          <w:tcPr>
            <w:tcW w:w="3330" w:type="dxa"/>
            <w:shd w:val="clear" w:color="auto" w:fill="auto"/>
          </w:tcPr>
          <w:p w14:paraId="2746D532" w14:textId="5514C4C3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Number of women 15-49 years of age who are usually permitted to go to specific places outside of their home alone</w:t>
            </w:r>
          </w:p>
        </w:tc>
        <w:tc>
          <w:tcPr>
            <w:tcW w:w="4050" w:type="dxa"/>
            <w:shd w:val="clear" w:color="auto" w:fill="auto"/>
          </w:tcPr>
          <w:p w14:paraId="636D9782" w14:textId="18CD4F4C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Total number of women aged 15-49 years surveyed</w:t>
            </w:r>
          </w:p>
        </w:tc>
      </w:tr>
      <w:tr w:rsidR="00B35BAF" w:rsidRPr="00116785" w14:paraId="4D781C2B" w14:textId="7346294A" w:rsidTr="00A01975">
        <w:trPr>
          <w:trHeight w:val="1920"/>
        </w:trPr>
        <w:tc>
          <w:tcPr>
            <w:tcW w:w="1982" w:type="dxa"/>
            <w:shd w:val="clear" w:color="auto" w:fill="DEEAF6" w:themeFill="accent5" w:themeFillTint="33"/>
            <w:hideMark/>
          </w:tcPr>
          <w:p w14:paraId="564851BF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lastRenderedPageBreak/>
              <w:t>Decision-making on her own health care</w:t>
            </w:r>
          </w:p>
        </w:tc>
        <w:tc>
          <w:tcPr>
            <w:tcW w:w="2428" w:type="dxa"/>
            <w:shd w:val="clear" w:color="auto" w:fill="DEEAF6" w:themeFill="accent5" w:themeFillTint="33"/>
            <w:hideMark/>
          </w:tcPr>
          <w:p w14:paraId="2F74E7E0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 xml:space="preserve">Percentage of women age 15-49 who mainly make decisions about their own health care </w:t>
            </w:r>
          </w:p>
        </w:tc>
        <w:tc>
          <w:tcPr>
            <w:tcW w:w="2700" w:type="dxa"/>
            <w:shd w:val="clear" w:color="auto" w:fill="DEEAF6" w:themeFill="accent5" w:themeFillTint="33"/>
            <w:hideMark/>
          </w:tcPr>
          <w:p w14:paraId="32F04DE6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Women are 'mainly' considered to have control over their own health care decision-making if they participate in decisions alone or jointly with someone else.</w:t>
            </w:r>
          </w:p>
        </w:tc>
        <w:tc>
          <w:tcPr>
            <w:tcW w:w="3330" w:type="dxa"/>
            <w:shd w:val="clear" w:color="auto" w:fill="DEEAF6" w:themeFill="accent5" w:themeFillTint="33"/>
            <w:hideMark/>
          </w:tcPr>
          <w:p w14:paraId="47E93C02" w14:textId="66C2BAD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Number of women 15-49 years of age who make decisions alone or jointly with someone else on their own health care</w:t>
            </w:r>
          </w:p>
        </w:tc>
        <w:tc>
          <w:tcPr>
            <w:tcW w:w="4050" w:type="dxa"/>
            <w:shd w:val="clear" w:color="auto" w:fill="DEEAF6" w:themeFill="accent5" w:themeFillTint="33"/>
            <w:hideMark/>
          </w:tcPr>
          <w:p w14:paraId="59AFEF31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Total number of women aged 15-49 years surveyed</w:t>
            </w:r>
          </w:p>
        </w:tc>
      </w:tr>
      <w:tr w:rsidR="00B35BAF" w:rsidRPr="00116785" w14:paraId="50F86CC3" w14:textId="6A119B1F" w:rsidTr="00A01975">
        <w:trPr>
          <w:trHeight w:val="1920"/>
        </w:trPr>
        <w:tc>
          <w:tcPr>
            <w:tcW w:w="1982" w:type="dxa"/>
            <w:shd w:val="clear" w:color="auto" w:fill="auto"/>
            <w:noWrap/>
            <w:hideMark/>
          </w:tcPr>
          <w:p w14:paraId="13DD70A5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Can make major purchase decisions</w:t>
            </w:r>
          </w:p>
        </w:tc>
        <w:tc>
          <w:tcPr>
            <w:tcW w:w="2428" w:type="dxa"/>
            <w:shd w:val="clear" w:color="auto" w:fill="auto"/>
            <w:hideMark/>
          </w:tcPr>
          <w:p w14:paraId="3137274F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Percentage of women age 15-49 who mainly make major purchase decisions</w:t>
            </w:r>
          </w:p>
        </w:tc>
        <w:tc>
          <w:tcPr>
            <w:tcW w:w="2700" w:type="dxa"/>
            <w:shd w:val="clear" w:color="auto" w:fill="auto"/>
            <w:hideMark/>
          </w:tcPr>
          <w:p w14:paraId="2BEBD279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Women are 'mainly' considered to have control over major household purchase decision-making if they participate in decisions alone or jointly with their husband.</w:t>
            </w:r>
          </w:p>
        </w:tc>
        <w:tc>
          <w:tcPr>
            <w:tcW w:w="3330" w:type="dxa"/>
            <w:shd w:val="clear" w:color="auto" w:fill="auto"/>
            <w:hideMark/>
          </w:tcPr>
          <w:p w14:paraId="10F63E75" w14:textId="61E3EA3A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Number of women 15-49 years of age who make decisions with their husband on major purchases</w:t>
            </w:r>
          </w:p>
        </w:tc>
        <w:tc>
          <w:tcPr>
            <w:tcW w:w="4050" w:type="dxa"/>
            <w:shd w:val="clear" w:color="auto" w:fill="auto"/>
            <w:hideMark/>
          </w:tcPr>
          <w:p w14:paraId="51C6C174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Total number of women aged 15-49 years surveyed</w:t>
            </w:r>
          </w:p>
        </w:tc>
      </w:tr>
      <w:tr w:rsidR="00B35BAF" w:rsidRPr="00116785" w14:paraId="082FB169" w14:textId="78590CA7" w:rsidTr="00A01975">
        <w:trPr>
          <w:trHeight w:val="1920"/>
        </w:trPr>
        <w:tc>
          <w:tcPr>
            <w:tcW w:w="1982" w:type="dxa"/>
            <w:shd w:val="clear" w:color="auto" w:fill="DEEAF6" w:themeFill="accent5" w:themeFillTint="33"/>
            <w:hideMark/>
          </w:tcPr>
          <w:p w14:paraId="657144B6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Can make decisions to visit family/relatives</w:t>
            </w:r>
          </w:p>
        </w:tc>
        <w:tc>
          <w:tcPr>
            <w:tcW w:w="2428" w:type="dxa"/>
            <w:shd w:val="clear" w:color="auto" w:fill="DEEAF6" w:themeFill="accent5" w:themeFillTint="33"/>
            <w:hideMark/>
          </w:tcPr>
          <w:p w14:paraId="4565EC15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Percentage of women age 15-49 who can make decisions to visit friends/family</w:t>
            </w:r>
          </w:p>
        </w:tc>
        <w:tc>
          <w:tcPr>
            <w:tcW w:w="2700" w:type="dxa"/>
            <w:shd w:val="clear" w:color="auto" w:fill="DEEAF6" w:themeFill="accent5" w:themeFillTint="33"/>
            <w:hideMark/>
          </w:tcPr>
          <w:p w14:paraId="721EC608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Women are 'mainly' considered to have control over visiting their family/relatives decision-making if they participate in decisions alone or jointly with their husband.</w:t>
            </w:r>
          </w:p>
        </w:tc>
        <w:tc>
          <w:tcPr>
            <w:tcW w:w="3330" w:type="dxa"/>
            <w:shd w:val="clear" w:color="auto" w:fill="DEEAF6" w:themeFill="accent5" w:themeFillTint="33"/>
            <w:hideMark/>
          </w:tcPr>
          <w:p w14:paraId="21A00A08" w14:textId="15D75E3C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Number of women 15-49 years of age who make decisions alone or jointly with their husband to visit family/relatives</w:t>
            </w:r>
          </w:p>
        </w:tc>
        <w:tc>
          <w:tcPr>
            <w:tcW w:w="4050" w:type="dxa"/>
            <w:shd w:val="clear" w:color="auto" w:fill="DEEAF6" w:themeFill="accent5" w:themeFillTint="33"/>
            <w:hideMark/>
          </w:tcPr>
          <w:p w14:paraId="13ADA8C1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Total number of women aged 15-49 years surveyed</w:t>
            </w:r>
          </w:p>
        </w:tc>
      </w:tr>
      <w:tr w:rsidR="00B35BAF" w:rsidRPr="00116785" w14:paraId="11B66A3B" w14:textId="4CCE3500" w:rsidTr="00A01975">
        <w:trPr>
          <w:trHeight w:val="1920"/>
        </w:trPr>
        <w:tc>
          <w:tcPr>
            <w:tcW w:w="1982" w:type="dxa"/>
            <w:shd w:val="clear" w:color="auto" w:fill="auto"/>
            <w:noWrap/>
            <w:hideMark/>
          </w:tcPr>
          <w:p w14:paraId="28B5AC96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Who should make major purchases</w:t>
            </w:r>
          </w:p>
        </w:tc>
        <w:tc>
          <w:tcPr>
            <w:tcW w:w="2428" w:type="dxa"/>
            <w:shd w:val="clear" w:color="auto" w:fill="auto"/>
            <w:hideMark/>
          </w:tcPr>
          <w:p w14:paraId="5CAACD1C" w14:textId="452E2B22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Percentage of women age 15 - 49 who can make decisions about major household purchases</w:t>
            </w:r>
          </w:p>
        </w:tc>
        <w:tc>
          <w:tcPr>
            <w:tcW w:w="2700" w:type="dxa"/>
            <w:shd w:val="clear" w:color="auto" w:fill="auto"/>
            <w:hideMark/>
          </w:tcPr>
          <w:p w14:paraId="1F8B841D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Women are 'mainly' considered to have control over major household purchase decision-making if they participate in decisions alone or jointly with their husband.</w:t>
            </w:r>
          </w:p>
        </w:tc>
        <w:tc>
          <w:tcPr>
            <w:tcW w:w="3330" w:type="dxa"/>
            <w:shd w:val="clear" w:color="auto" w:fill="auto"/>
            <w:hideMark/>
          </w:tcPr>
          <w:p w14:paraId="46581750" w14:textId="17398CB3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Number of women 15 - 49 who make decisions alone or jointly with their husband on major purchases</w:t>
            </w:r>
          </w:p>
        </w:tc>
        <w:tc>
          <w:tcPr>
            <w:tcW w:w="4050" w:type="dxa"/>
            <w:shd w:val="clear" w:color="auto" w:fill="auto"/>
            <w:hideMark/>
          </w:tcPr>
          <w:p w14:paraId="3C833C8B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Total number of women aged 15-49 years surveyed</w:t>
            </w:r>
          </w:p>
        </w:tc>
      </w:tr>
      <w:tr w:rsidR="00B35BAF" w:rsidRPr="00116785" w14:paraId="624B7982" w14:textId="707D7497" w:rsidTr="00A01975">
        <w:trPr>
          <w:trHeight w:val="1920"/>
        </w:trPr>
        <w:tc>
          <w:tcPr>
            <w:tcW w:w="1982" w:type="dxa"/>
            <w:shd w:val="clear" w:color="auto" w:fill="DEEAF6" w:themeFill="accent5" w:themeFillTint="33"/>
            <w:hideMark/>
          </w:tcPr>
          <w:p w14:paraId="1E1602B9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Who should make daily purchases</w:t>
            </w:r>
          </w:p>
        </w:tc>
        <w:tc>
          <w:tcPr>
            <w:tcW w:w="2428" w:type="dxa"/>
            <w:shd w:val="clear" w:color="auto" w:fill="DEEAF6" w:themeFill="accent5" w:themeFillTint="33"/>
            <w:hideMark/>
          </w:tcPr>
          <w:p w14:paraId="4D7329E7" w14:textId="5F2B869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Percentage of women age 15 - 49 who can make decisions about daily household purchases</w:t>
            </w:r>
          </w:p>
        </w:tc>
        <w:tc>
          <w:tcPr>
            <w:tcW w:w="2700" w:type="dxa"/>
            <w:shd w:val="clear" w:color="auto" w:fill="DEEAF6" w:themeFill="accent5" w:themeFillTint="33"/>
            <w:hideMark/>
          </w:tcPr>
          <w:p w14:paraId="561B73AF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Women are 'mainly' considered to have control over daily household purchase decision-making if they participate in decisions alone or jointly with their husband.</w:t>
            </w:r>
          </w:p>
        </w:tc>
        <w:tc>
          <w:tcPr>
            <w:tcW w:w="3330" w:type="dxa"/>
            <w:shd w:val="clear" w:color="auto" w:fill="DEEAF6" w:themeFill="accent5" w:themeFillTint="33"/>
            <w:hideMark/>
          </w:tcPr>
          <w:p w14:paraId="7631E892" w14:textId="39E9D852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Number of women 15 - 49 who make decisions alone or jointly with their husband on daily purchases</w:t>
            </w:r>
          </w:p>
        </w:tc>
        <w:tc>
          <w:tcPr>
            <w:tcW w:w="4050" w:type="dxa"/>
            <w:shd w:val="clear" w:color="auto" w:fill="DEEAF6" w:themeFill="accent5" w:themeFillTint="33"/>
            <w:hideMark/>
          </w:tcPr>
          <w:p w14:paraId="73B42DBC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Total number of women aged 15-49 years surveyed</w:t>
            </w:r>
          </w:p>
        </w:tc>
      </w:tr>
      <w:tr w:rsidR="00B35BAF" w:rsidRPr="00116785" w14:paraId="46DFA5D4" w14:textId="3AD1A73D" w:rsidTr="00A01975">
        <w:trPr>
          <w:trHeight w:val="1600"/>
        </w:trPr>
        <w:tc>
          <w:tcPr>
            <w:tcW w:w="1982" w:type="dxa"/>
            <w:shd w:val="clear" w:color="auto" w:fill="auto"/>
            <w:hideMark/>
          </w:tcPr>
          <w:p w14:paraId="048165F1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lastRenderedPageBreak/>
              <w:t>Who should sell poultry</w:t>
            </w:r>
          </w:p>
        </w:tc>
        <w:tc>
          <w:tcPr>
            <w:tcW w:w="2428" w:type="dxa"/>
            <w:shd w:val="clear" w:color="auto" w:fill="auto"/>
            <w:hideMark/>
          </w:tcPr>
          <w:p w14:paraId="73308FBC" w14:textId="01BF81BF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Percentage of women age 15 - 49 who can make decisions about selling poultry</w:t>
            </w:r>
          </w:p>
        </w:tc>
        <w:tc>
          <w:tcPr>
            <w:tcW w:w="2700" w:type="dxa"/>
            <w:shd w:val="clear" w:color="auto" w:fill="auto"/>
            <w:hideMark/>
          </w:tcPr>
          <w:p w14:paraId="2907208D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Women are 'mainly' considered to have control over poultry selling decision-making if they participate in decisions alone or jointly with their husband.</w:t>
            </w:r>
          </w:p>
        </w:tc>
        <w:tc>
          <w:tcPr>
            <w:tcW w:w="3330" w:type="dxa"/>
            <w:shd w:val="clear" w:color="auto" w:fill="auto"/>
            <w:hideMark/>
          </w:tcPr>
          <w:p w14:paraId="11788170" w14:textId="74569D9F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Number of women 15 - 49 who make decisions alone or jointly with their husband on selling poultry</w:t>
            </w:r>
          </w:p>
        </w:tc>
        <w:tc>
          <w:tcPr>
            <w:tcW w:w="4050" w:type="dxa"/>
            <w:shd w:val="clear" w:color="auto" w:fill="auto"/>
            <w:hideMark/>
          </w:tcPr>
          <w:p w14:paraId="570A72B6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Total number of women aged 15-49 years surveyed</w:t>
            </w:r>
          </w:p>
        </w:tc>
      </w:tr>
      <w:tr w:rsidR="00B35BAF" w:rsidRPr="00116785" w14:paraId="7A2ECAA0" w14:textId="4499E2B3" w:rsidTr="00A01975">
        <w:trPr>
          <w:trHeight w:val="1600"/>
        </w:trPr>
        <w:tc>
          <w:tcPr>
            <w:tcW w:w="1982" w:type="dxa"/>
            <w:shd w:val="clear" w:color="auto" w:fill="DEEAF6" w:themeFill="accent5" w:themeFillTint="33"/>
            <w:noWrap/>
            <w:hideMark/>
          </w:tcPr>
          <w:p w14:paraId="0CE99D92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Who should sell livestock</w:t>
            </w:r>
          </w:p>
        </w:tc>
        <w:tc>
          <w:tcPr>
            <w:tcW w:w="2428" w:type="dxa"/>
            <w:shd w:val="clear" w:color="auto" w:fill="DEEAF6" w:themeFill="accent5" w:themeFillTint="33"/>
            <w:hideMark/>
          </w:tcPr>
          <w:p w14:paraId="794E9E90" w14:textId="2D6AB2C3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Percentage of women age 15 - 49 who can make decisions about selling livestock</w:t>
            </w:r>
          </w:p>
        </w:tc>
        <w:tc>
          <w:tcPr>
            <w:tcW w:w="2700" w:type="dxa"/>
            <w:shd w:val="clear" w:color="auto" w:fill="DEEAF6" w:themeFill="accent5" w:themeFillTint="33"/>
            <w:hideMark/>
          </w:tcPr>
          <w:p w14:paraId="5825E0D0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Women are 'mainly' considered to have control over livestock selling decision-making if they participate in decisions alone or jointly with their husband.</w:t>
            </w:r>
          </w:p>
        </w:tc>
        <w:tc>
          <w:tcPr>
            <w:tcW w:w="3330" w:type="dxa"/>
            <w:shd w:val="clear" w:color="auto" w:fill="DEEAF6" w:themeFill="accent5" w:themeFillTint="33"/>
            <w:hideMark/>
          </w:tcPr>
          <w:p w14:paraId="402E77FC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Number of women 15 - 49 who make decisions alone or jointly with their husband on selling livestock</w:t>
            </w:r>
          </w:p>
        </w:tc>
        <w:tc>
          <w:tcPr>
            <w:tcW w:w="4050" w:type="dxa"/>
            <w:shd w:val="clear" w:color="auto" w:fill="DEEAF6" w:themeFill="accent5" w:themeFillTint="33"/>
            <w:hideMark/>
          </w:tcPr>
          <w:p w14:paraId="51BDD204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Total number of women aged 15-49 years surveyed</w:t>
            </w:r>
          </w:p>
        </w:tc>
      </w:tr>
      <w:tr w:rsidR="00B35BAF" w:rsidRPr="00116785" w14:paraId="47E16044" w14:textId="72AC65BD" w:rsidTr="00A01975">
        <w:trPr>
          <w:trHeight w:val="1920"/>
        </w:trPr>
        <w:tc>
          <w:tcPr>
            <w:tcW w:w="1982" w:type="dxa"/>
            <w:shd w:val="clear" w:color="auto" w:fill="auto"/>
            <w:hideMark/>
          </w:tcPr>
          <w:p w14:paraId="702060E5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Who should decide to visit wife's family</w:t>
            </w:r>
          </w:p>
        </w:tc>
        <w:tc>
          <w:tcPr>
            <w:tcW w:w="2428" w:type="dxa"/>
            <w:shd w:val="clear" w:color="auto" w:fill="auto"/>
            <w:hideMark/>
          </w:tcPr>
          <w:p w14:paraId="25322C4D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Percentage of women age 15-49 who can make decisions to visit friends/family</w:t>
            </w:r>
          </w:p>
        </w:tc>
        <w:tc>
          <w:tcPr>
            <w:tcW w:w="2700" w:type="dxa"/>
            <w:shd w:val="clear" w:color="auto" w:fill="auto"/>
            <w:hideMark/>
          </w:tcPr>
          <w:p w14:paraId="10DA4A3C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Women are 'mainly' considered to have control over visiting their family/relatives decision-making if they participate in decisions alone or jointly with their husband.</w:t>
            </w:r>
          </w:p>
        </w:tc>
        <w:tc>
          <w:tcPr>
            <w:tcW w:w="3330" w:type="dxa"/>
            <w:shd w:val="clear" w:color="auto" w:fill="auto"/>
            <w:hideMark/>
          </w:tcPr>
          <w:p w14:paraId="215EA57B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Number of women 15 - 49 who make decisions alone or jointly with their husband on visiting wife's family/relatives</w:t>
            </w:r>
          </w:p>
        </w:tc>
        <w:tc>
          <w:tcPr>
            <w:tcW w:w="4050" w:type="dxa"/>
            <w:shd w:val="clear" w:color="auto" w:fill="auto"/>
            <w:hideMark/>
          </w:tcPr>
          <w:p w14:paraId="46FF36AD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Total number of women aged 15-49 years surveyed</w:t>
            </w:r>
          </w:p>
        </w:tc>
      </w:tr>
      <w:tr w:rsidR="00B35BAF" w:rsidRPr="00116785" w14:paraId="044C9453" w14:textId="47431BDB" w:rsidTr="00A01975">
        <w:trPr>
          <w:trHeight w:val="1600"/>
        </w:trPr>
        <w:tc>
          <w:tcPr>
            <w:tcW w:w="1982" w:type="dxa"/>
            <w:shd w:val="clear" w:color="auto" w:fill="DEEAF6" w:themeFill="accent5" w:themeFillTint="33"/>
            <w:hideMark/>
          </w:tcPr>
          <w:p w14:paraId="2C36ED3E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Who should decide how many children</w:t>
            </w:r>
          </w:p>
        </w:tc>
        <w:tc>
          <w:tcPr>
            <w:tcW w:w="2428" w:type="dxa"/>
            <w:shd w:val="clear" w:color="auto" w:fill="DEEAF6" w:themeFill="accent5" w:themeFillTint="33"/>
            <w:hideMark/>
          </w:tcPr>
          <w:p w14:paraId="52382383" w14:textId="7D7592FF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Percentage of women age 15-49 who can make decisions about how many children and when to have them</w:t>
            </w:r>
          </w:p>
        </w:tc>
        <w:tc>
          <w:tcPr>
            <w:tcW w:w="2700" w:type="dxa"/>
            <w:shd w:val="clear" w:color="auto" w:fill="DEEAF6" w:themeFill="accent5" w:themeFillTint="33"/>
            <w:hideMark/>
          </w:tcPr>
          <w:p w14:paraId="4EB73713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Women are 'mainly' considered to have control over number of children decision-making if they participate in decisions alone or jointly with their husband.</w:t>
            </w:r>
          </w:p>
        </w:tc>
        <w:tc>
          <w:tcPr>
            <w:tcW w:w="3330" w:type="dxa"/>
            <w:shd w:val="clear" w:color="auto" w:fill="DEEAF6" w:themeFill="accent5" w:themeFillTint="33"/>
            <w:hideMark/>
          </w:tcPr>
          <w:p w14:paraId="65C8AF9D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Number of women 15 - 49 who make decisions alone or jointly with their husband about how many children and when they should have them</w:t>
            </w:r>
          </w:p>
        </w:tc>
        <w:tc>
          <w:tcPr>
            <w:tcW w:w="4050" w:type="dxa"/>
            <w:shd w:val="clear" w:color="auto" w:fill="DEEAF6" w:themeFill="accent5" w:themeFillTint="33"/>
            <w:hideMark/>
          </w:tcPr>
          <w:p w14:paraId="5F060076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Total number of women aged 15-49 years surveyed</w:t>
            </w:r>
          </w:p>
        </w:tc>
      </w:tr>
      <w:tr w:rsidR="00B35BAF" w:rsidRPr="00116785" w14:paraId="0DF8C9DE" w14:textId="65BD0C56" w:rsidTr="00A01975">
        <w:trPr>
          <w:trHeight w:val="1600"/>
        </w:trPr>
        <w:tc>
          <w:tcPr>
            <w:tcW w:w="1982" w:type="dxa"/>
            <w:shd w:val="clear" w:color="auto" w:fill="auto"/>
            <w:hideMark/>
          </w:tcPr>
          <w:p w14:paraId="08E2E562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Control over her own income</w:t>
            </w:r>
          </w:p>
        </w:tc>
        <w:tc>
          <w:tcPr>
            <w:tcW w:w="2428" w:type="dxa"/>
            <w:shd w:val="clear" w:color="auto" w:fill="auto"/>
            <w:hideMark/>
          </w:tcPr>
          <w:p w14:paraId="0386A10B" w14:textId="10394629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Percentage of women age 15-49 who mainly decide how her own income will be used</w:t>
            </w:r>
          </w:p>
        </w:tc>
        <w:tc>
          <w:tcPr>
            <w:tcW w:w="2700" w:type="dxa"/>
            <w:shd w:val="clear" w:color="auto" w:fill="auto"/>
            <w:hideMark/>
          </w:tcPr>
          <w:p w14:paraId="5EDCDE90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Women are 'mainly' considered to have control over their own income if they participate in decisions alone or jointly with someone else.</w:t>
            </w:r>
          </w:p>
        </w:tc>
        <w:tc>
          <w:tcPr>
            <w:tcW w:w="3330" w:type="dxa"/>
            <w:shd w:val="clear" w:color="auto" w:fill="auto"/>
            <w:hideMark/>
          </w:tcPr>
          <w:p w14:paraId="5A5323A9" w14:textId="00454BB2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Number of women 15-49 years of age who make decisions alone or jointly with someone else on how their own income will be used </w:t>
            </w:r>
          </w:p>
        </w:tc>
        <w:tc>
          <w:tcPr>
            <w:tcW w:w="4050" w:type="dxa"/>
            <w:shd w:val="clear" w:color="auto" w:fill="auto"/>
            <w:hideMark/>
          </w:tcPr>
          <w:p w14:paraId="428BF312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Total number of women aged 15-49 years surveyed</w:t>
            </w:r>
          </w:p>
        </w:tc>
      </w:tr>
      <w:tr w:rsidR="00B35BAF" w:rsidRPr="00116785" w14:paraId="5130B0EB" w14:textId="77777777" w:rsidTr="00A01975">
        <w:trPr>
          <w:trHeight w:val="1600"/>
        </w:trPr>
        <w:tc>
          <w:tcPr>
            <w:tcW w:w="1982" w:type="dxa"/>
            <w:shd w:val="clear" w:color="auto" w:fill="auto"/>
          </w:tcPr>
          <w:p w14:paraId="469206F1" w14:textId="0179E008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lastRenderedPageBreak/>
              <w:t xml:space="preserve">Control over her </w:t>
            </w: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partner’s</w:t>
            </w: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 xml:space="preserve"> income</w:t>
            </w:r>
          </w:p>
        </w:tc>
        <w:tc>
          <w:tcPr>
            <w:tcW w:w="2428" w:type="dxa"/>
            <w:shd w:val="clear" w:color="auto" w:fill="auto"/>
          </w:tcPr>
          <w:p w14:paraId="4D84CA46" w14:textId="77777777" w:rsidR="00B35BAF" w:rsidRDefault="00B35BAF" w:rsidP="00B35BAF">
            <w:pPr>
              <w:spacing w:before="120" w:after="120" w:line="259" w:lineRule="auto"/>
              <w:contextualSpacing/>
            </w:pPr>
            <w:r w:rsidRPr="00E81F0F">
              <w:t xml:space="preserve">Percentage of women age 15-49 who mainly decide how </w:t>
            </w:r>
            <w:r>
              <w:t>their husband/partner’s</w:t>
            </w:r>
            <w:r w:rsidRPr="00E81F0F">
              <w:t xml:space="preserve"> income will be used</w:t>
            </w:r>
          </w:p>
          <w:p w14:paraId="6B212D41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72D2116B" w14:textId="0CB917EF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 xml:space="preserve">Women are 'mainly' considered to have control over their </w:t>
            </w: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partner’s</w:t>
            </w: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 xml:space="preserve"> income if they participate in decisions alone or jointly with someone else.</w:t>
            </w:r>
          </w:p>
        </w:tc>
        <w:tc>
          <w:tcPr>
            <w:tcW w:w="3330" w:type="dxa"/>
            <w:shd w:val="clear" w:color="auto" w:fill="auto"/>
          </w:tcPr>
          <w:p w14:paraId="7FF32AFB" w14:textId="4427A835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E81F0F">
              <w:rPr>
                <w:rFonts w:ascii="Calibri" w:eastAsia="Times New Roman" w:hAnsi="Calibri" w:cs="Times New Roman"/>
                <w:color w:val="000000"/>
              </w:rPr>
              <w:t xml:space="preserve">Number of women 15-49 years of age who make decisions alone or jointly with someone else on how their </w:t>
            </w:r>
            <w:r>
              <w:rPr>
                <w:rFonts w:ascii="Calibri" w:eastAsia="Times New Roman" w:hAnsi="Calibri" w:cs="Times New Roman"/>
                <w:color w:val="000000"/>
              </w:rPr>
              <w:t>husband/partner’s income will be used.</w:t>
            </w:r>
            <w:r w:rsidRPr="00E81F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50" w:type="dxa"/>
            <w:shd w:val="clear" w:color="auto" w:fill="auto"/>
          </w:tcPr>
          <w:p w14:paraId="2EC4DBCA" w14:textId="32BA85E1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Total number of women aged 15-49 years surveyed</w:t>
            </w:r>
          </w:p>
        </w:tc>
      </w:tr>
      <w:tr w:rsidR="00B35BAF" w:rsidRPr="00116785" w14:paraId="42F8291A" w14:textId="30992013" w:rsidTr="00A01975">
        <w:trPr>
          <w:trHeight w:val="20"/>
        </w:trPr>
        <w:tc>
          <w:tcPr>
            <w:tcW w:w="14490" w:type="dxa"/>
            <w:gridSpan w:val="5"/>
            <w:shd w:val="clear" w:color="000000" w:fill="FFD966"/>
            <w:hideMark/>
          </w:tcPr>
          <w:p w14:paraId="3C6E55EC" w14:textId="2CB3FE8E" w:rsidR="00B35BAF" w:rsidRPr="00116785" w:rsidRDefault="00B35BAF" w:rsidP="00B35BAF">
            <w:pPr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</w:rPr>
              <w:t>Norms and Beliefs</w:t>
            </w:r>
          </w:p>
          <w:p w14:paraId="6A25B0AF" w14:textId="4DD69711" w:rsidR="00B35BAF" w:rsidRPr="00116785" w:rsidRDefault="00B35BAF" w:rsidP="00B35BAF">
            <w:pPr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5BAF" w:rsidRPr="00116785" w14:paraId="0D6ABD1A" w14:textId="77777777" w:rsidTr="00A01975">
        <w:trPr>
          <w:trHeight w:val="2880"/>
        </w:trPr>
        <w:tc>
          <w:tcPr>
            <w:tcW w:w="1982" w:type="dxa"/>
            <w:shd w:val="clear" w:color="auto" w:fill="auto"/>
          </w:tcPr>
          <w:p w14:paraId="01FFD13B" w14:textId="3A85DA5F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Attitudes toward wife beating</w:t>
            </w:r>
          </w:p>
        </w:tc>
        <w:tc>
          <w:tcPr>
            <w:tcW w:w="2428" w:type="dxa"/>
            <w:shd w:val="clear" w:color="auto" w:fill="auto"/>
          </w:tcPr>
          <w:p w14:paraId="4E0A647E" w14:textId="3C175012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Percentage of women who think a husband is justified in hitting or beating his wife under certain circumstances</w:t>
            </w:r>
          </w:p>
        </w:tc>
        <w:tc>
          <w:tcPr>
            <w:tcW w:w="2700" w:type="dxa"/>
            <w:shd w:val="clear" w:color="auto" w:fill="auto"/>
          </w:tcPr>
          <w:p w14:paraId="7FBE1CD4" w14:textId="6567890B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 xml:space="preserve">Percent of respondents aged 18-49 years who agree with at least one specified reason for a husband beating his wife: </w:t>
            </w:r>
            <w:proofErr w:type="spellStart"/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i</w:t>
            </w:r>
            <w:proofErr w:type="spellEnd"/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) burns the food, ii) argues with husband, iii) goes out without telling the husband, iv) neglects the children or v) refuses to have sex with husband</w:t>
            </w:r>
          </w:p>
        </w:tc>
        <w:tc>
          <w:tcPr>
            <w:tcW w:w="3330" w:type="dxa"/>
            <w:shd w:val="clear" w:color="auto" w:fill="auto"/>
          </w:tcPr>
          <w:p w14:paraId="3B64DFE9" w14:textId="5001684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 xml:space="preserve">Number of women who accept domestic violence (any yes responses/ mix of yes and DK) </w:t>
            </w:r>
          </w:p>
        </w:tc>
        <w:tc>
          <w:tcPr>
            <w:tcW w:w="4050" w:type="dxa"/>
            <w:shd w:val="clear" w:color="auto" w:fill="auto"/>
          </w:tcPr>
          <w:p w14:paraId="27EEC0E4" w14:textId="610A3A3E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Total number of women aged 15-49 years surveyed</w:t>
            </w:r>
          </w:p>
        </w:tc>
      </w:tr>
      <w:tr w:rsidR="00B35BAF" w:rsidRPr="00116785" w14:paraId="08E4B3A7" w14:textId="322ABB31" w:rsidTr="00A01975">
        <w:trPr>
          <w:trHeight w:val="1280"/>
        </w:trPr>
        <w:tc>
          <w:tcPr>
            <w:tcW w:w="1982" w:type="dxa"/>
            <w:shd w:val="clear" w:color="auto" w:fill="FFF2CC" w:themeFill="accent4" w:themeFillTint="33"/>
            <w:hideMark/>
          </w:tcPr>
          <w:p w14:paraId="0C22EF6D" w14:textId="2B9F1BB4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Attitudes towards childbearing</w:t>
            </w:r>
          </w:p>
        </w:tc>
        <w:tc>
          <w:tcPr>
            <w:tcW w:w="2428" w:type="dxa"/>
            <w:shd w:val="clear" w:color="auto" w:fill="FFF2CC" w:themeFill="accent4" w:themeFillTint="33"/>
            <w:hideMark/>
          </w:tcPr>
          <w:p w14:paraId="3347DE66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 xml:space="preserve">The percent of women who respond that childbearing is a women's concern. </w:t>
            </w:r>
          </w:p>
        </w:tc>
        <w:tc>
          <w:tcPr>
            <w:tcW w:w="2700" w:type="dxa"/>
            <w:shd w:val="clear" w:color="auto" w:fill="FFF2CC" w:themeFill="accent4" w:themeFillTint="33"/>
            <w:hideMark/>
          </w:tcPr>
          <w:p w14:paraId="672BB290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Percent of respondents aged 18 - 49 years who agree that childbearing is a woman's concern only</w:t>
            </w:r>
          </w:p>
        </w:tc>
        <w:tc>
          <w:tcPr>
            <w:tcW w:w="3330" w:type="dxa"/>
            <w:shd w:val="clear" w:color="auto" w:fill="FFF2CC" w:themeFill="accent4" w:themeFillTint="33"/>
            <w:hideMark/>
          </w:tcPr>
          <w:p w14:paraId="126E3168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 xml:space="preserve">Number of women in target population surveyed/interviewed who respond that childbearing is a women's concern. </w:t>
            </w:r>
          </w:p>
        </w:tc>
        <w:tc>
          <w:tcPr>
            <w:tcW w:w="4050" w:type="dxa"/>
            <w:shd w:val="clear" w:color="auto" w:fill="FFF2CC" w:themeFill="accent4" w:themeFillTint="33"/>
            <w:hideMark/>
          </w:tcPr>
          <w:p w14:paraId="286A1642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Total number of women aged 15-49 years surveyed</w:t>
            </w:r>
          </w:p>
        </w:tc>
      </w:tr>
      <w:tr w:rsidR="00B35BAF" w:rsidRPr="00116785" w14:paraId="08C8C8B7" w14:textId="63745B3C" w:rsidTr="00A01975">
        <w:trPr>
          <w:trHeight w:val="1280"/>
        </w:trPr>
        <w:tc>
          <w:tcPr>
            <w:tcW w:w="1982" w:type="dxa"/>
            <w:shd w:val="clear" w:color="auto" w:fill="auto"/>
            <w:hideMark/>
          </w:tcPr>
          <w:p w14:paraId="48CCC0B2" w14:textId="4003A4B0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Attitudes towards whether a doctor is necessary for delivery</w:t>
            </w:r>
          </w:p>
        </w:tc>
        <w:tc>
          <w:tcPr>
            <w:tcW w:w="2428" w:type="dxa"/>
            <w:shd w:val="clear" w:color="auto" w:fill="auto"/>
            <w:hideMark/>
          </w:tcPr>
          <w:p w14:paraId="72093AE3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The percent of women who respond that a doctor is necessary for delivery</w:t>
            </w:r>
          </w:p>
        </w:tc>
        <w:tc>
          <w:tcPr>
            <w:tcW w:w="2700" w:type="dxa"/>
            <w:shd w:val="clear" w:color="auto" w:fill="auto"/>
            <w:hideMark/>
          </w:tcPr>
          <w:p w14:paraId="67250894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Percent of respondents aged 18 - 49 years who agree that the presence of a doctor is necessary for delivering children</w:t>
            </w:r>
          </w:p>
        </w:tc>
        <w:tc>
          <w:tcPr>
            <w:tcW w:w="3330" w:type="dxa"/>
            <w:shd w:val="clear" w:color="auto" w:fill="auto"/>
            <w:hideMark/>
          </w:tcPr>
          <w:p w14:paraId="12C7082F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Number of women in target population surveyed/interviewed who respond that a doctor is necessary for delivery</w:t>
            </w:r>
          </w:p>
        </w:tc>
        <w:tc>
          <w:tcPr>
            <w:tcW w:w="4050" w:type="dxa"/>
            <w:shd w:val="clear" w:color="auto" w:fill="auto"/>
            <w:hideMark/>
          </w:tcPr>
          <w:p w14:paraId="7891B48F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Total number of women aged 15-49 years surveyed</w:t>
            </w:r>
          </w:p>
        </w:tc>
      </w:tr>
      <w:tr w:rsidR="00B35BAF" w:rsidRPr="00116785" w14:paraId="28A1ED80" w14:textId="13F8BC56" w:rsidTr="00A01975">
        <w:trPr>
          <w:trHeight w:val="1600"/>
        </w:trPr>
        <w:tc>
          <w:tcPr>
            <w:tcW w:w="1982" w:type="dxa"/>
            <w:shd w:val="clear" w:color="auto" w:fill="FFF2CC" w:themeFill="accent4" w:themeFillTint="33"/>
            <w:hideMark/>
          </w:tcPr>
          <w:p w14:paraId="19C8C436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 xml:space="preserve">Attitudes towards male engagement in ANC. </w:t>
            </w:r>
          </w:p>
        </w:tc>
        <w:tc>
          <w:tcPr>
            <w:tcW w:w="2428" w:type="dxa"/>
            <w:shd w:val="clear" w:color="auto" w:fill="FFF2CC" w:themeFill="accent4" w:themeFillTint="33"/>
            <w:hideMark/>
          </w:tcPr>
          <w:p w14:paraId="461C1A24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The percent of women who respond that a husband should accompany his wife to ANC.</w:t>
            </w:r>
          </w:p>
        </w:tc>
        <w:tc>
          <w:tcPr>
            <w:tcW w:w="2700" w:type="dxa"/>
            <w:shd w:val="clear" w:color="auto" w:fill="FFF2CC" w:themeFill="accent4" w:themeFillTint="33"/>
            <w:hideMark/>
          </w:tcPr>
          <w:p w14:paraId="3F23BEB4" w14:textId="36E666D4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Percent of respondents aged 18 - 49 years who agree that a husband/partner should accompany his wife/partner for ANC visits</w:t>
            </w:r>
          </w:p>
        </w:tc>
        <w:tc>
          <w:tcPr>
            <w:tcW w:w="3330" w:type="dxa"/>
            <w:shd w:val="clear" w:color="auto" w:fill="FFF2CC" w:themeFill="accent4" w:themeFillTint="33"/>
            <w:hideMark/>
          </w:tcPr>
          <w:p w14:paraId="5957E13F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Number of women in target population surveyed/interviewed who respond that a husband should accompany his wife to ANC.</w:t>
            </w:r>
          </w:p>
        </w:tc>
        <w:tc>
          <w:tcPr>
            <w:tcW w:w="4050" w:type="dxa"/>
            <w:shd w:val="clear" w:color="auto" w:fill="FFF2CC" w:themeFill="accent4" w:themeFillTint="33"/>
            <w:hideMark/>
          </w:tcPr>
          <w:p w14:paraId="1B691045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Total number of women aged 15-49 years surveyed</w:t>
            </w:r>
          </w:p>
        </w:tc>
      </w:tr>
      <w:tr w:rsidR="00B35BAF" w:rsidRPr="00116785" w14:paraId="053480AA" w14:textId="562E45BD" w:rsidTr="00A01975">
        <w:trPr>
          <w:trHeight w:val="1600"/>
        </w:trPr>
        <w:tc>
          <w:tcPr>
            <w:tcW w:w="1982" w:type="dxa"/>
            <w:shd w:val="clear" w:color="auto" w:fill="auto"/>
            <w:hideMark/>
          </w:tcPr>
          <w:p w14:paraId="67211772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lastRenderedPageBreak/>
              <w:t xml:space="preserve">Attitudes towards male engagement in delivery. </w:t>
            </w:r>
          </w:p>
        </w:tc>
        <w:tc>
          <w:tcPr>
            <w:tcW w:w="2428" w:type="dxa"/>
            <w:shd w:val="clear" w:color="auto" w:fill="auto"/>
            <w:hideMark/>
          </w:tcPr>
          <w:p w14:paraId="7B8D6958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The percent of women who respond that a husband should accompany his wife to delivery.</w:t>
            </w:r>
          </w:p>
        </w:tc>
        <w:tc>
          <w:tcPr>
            <w:tcW w:w="2700" w:type="dxa"/>
            <w:shd w:val="clear" w:color="auto" w:fill="auto"/>
            <w:hideMark/>
          </w:tcPr>
          <w:p w14:paraId="7B0F5B9D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 xml:space="preserve">Percent of respondents aged 18 - 49 years who agree that a husband/partner should accompany his wife/partner for delivery </w:t>
            </w:r>
          </w:p>
        </w:tc>
        <w:tc>
          <w:tcPr>
            <w:tcW w:w="3330" w:type="dxa"/>
            <w:shd w:val="clear" w:color="auto" w:fill="auto"/>
            <w:hideMark/>
          </w:tcPr>
          <w:p w14:paraId="173A7F9D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Number of women in target population surveyed/interviewed who respond that a husband should accompany his wife to delivery.</w:t>
            </w:r>
          </w:p>
        </w:tc>
        <w:tc>
          <w:tcPr>
            <w:tcW w:w="4050" w:type="dxa"/>
            <w:shd w:val="clear" w:color="auto" w:fill="auto"/>
            <w:hideMark/>
          </w:tcPr>
          <w:p w14:paraId="3A3E5AF7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Total number of women aged 15-49 years surveyed</w:t>
            </w:r>
          </w:p>
        </w:tc>
      </w:tr>
      <w:tr w:rsidR="00B35BAF" w:rsidRPr="00116785" w14:paraId="129AB8A9" w14:textId="67999E5D" w:rsidTr="00A01975">
        <w:trPr>
          <w:trHeight w:val="1280"/>
        </w:trPr>
        <w:tc>
          <w:tcPr>
            <w:tcW w:w="1982" w:type="dxa"/>
            <w:shd w:val="clear" w:color="auto" w:fill="FFF2CC" w:themeFill="accent4" w:themeFillTint="33"/>
            <w:hideMark/>
          </w:tcPr>
          <w:p w14:paraId="4A389F72" w14:textId="3D4D4805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Attitudes towards responsibility for contraception.</w:t>
            </w:r>
          </w:p>
        </w:tc>
        <w:tc>
          <w:tcPr>
            <w:tcW w:w="2428" w:type="dxa"/>
            <w:shd w:val="clear" w:color="auto" w:fill="FFF2CC" w:themeFill="accent4" w:themeFillTint="33"/>
            <w:hideMark/>
          </w:tcPr>
          <w:p w14:paraId="7949C043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 xml:space="preserve">The percent of women who respond that contraception is a women's concern. </w:t>
            </w:r>
          </w:p>
        </w:tc>
        <w:tc>
          <w:tcPr>
            <w:tcW w:w="2700" w:type="dxa"/>
            <w:shd w:val="clear" w:color="auto" w:fill="FFF2CC" w:themeFill="accent4" w:themeFillTint="33"/>
            <w:hideMark/>
          </w:tcPr>
          <w:p w14:paraId="1D61C11B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Percent of respondents aged 18-49 years who agree that contraception is a women's concern</w:t>
            </w:r>
          </w:p>
        </w:tc>
        <w:tc>
          <w:tcPr>
            <w:tcW w:w="3330" w:type="dxa"/>
            <w:shd w:val="clear" w:color="auto" w:fill="FFF2CC" w:themeFill="accent4" w:themeFillTint="33"/>
            <w:hideMark/>
          </w:tcPr>
          <w:p w14:paraId="4A39D88A" w14:textId="1DBF8B2F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 xml:space="preserve">Number of women in target population surveyed/interviewed who report that contraception is a women's concern. </w:t>
            </w:r>
          </w:p>
        </w:tc>
        <w:tc>
          <w:tcPr>
            <w:tcW w:w="4050" w:type="dxa"/>
            <w:shd w:val="clear" w:color="auto" w:fill="FFF2CC" w:themeFill="accent4" w:themeFillTint="33"/>
            <w:hideMark/>
          </w:tcPr>
          <w:p w14:paraId="2834F4A9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Total number of women aged 15-49 years surveyed</w:t>
            </w:r>
          </w:p>
        </w:tc>
      </w:tr>
      <w:tr w:rsidR="00B35BAF" w:rsidRPr="00116785" w14:paraId="18880473" w14:textId="13742238" w:rsidTr="00A01975">
        <w:trPr>
          <w:trHeight w:val="1280"/>
        </w:trPr>
        <w:tc>
          <w:tcPr>
            <w:tcW w:w="1982" w:type="dxa"/>
            <w:shd w:val="clear" w:color="auto" w:fill="auto"/>
            <w:hideMark/>
          </w:tcPr>
          <w:p w14:paraId="54AAE6E3" w14:textId="5C09970C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Attitudes towards contraception.</w:t>
            </w:r>
          </w:p>
        </w:tc>
        <w:tc>
          <w:tcPr>
            <w:tcW w:w="2428" w:type="dxa"/>
            <w:shd w:val="clear" w:color="auto" w:fill="auto"/>
            <w:hideMark/>
          </w:tcPr>
          <w:p w14:paraId="3B6874D9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The percent of women who respond that contraception is for promiscuous women.</w:t>
            </w:r>
          </w:p>
        </w:tc>
        <w:tc>
          <w:tcPr>
            <w:tcW w:w="2700" w:type="dxa"/>
            <w:shd w:val="clear" w:color="auto" w:fill="auto"/>
            <w:hideMark/>
          </w:tcPr>
          <w:p w14:paraId="31576F44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Percent of respondents aged 18 - 49 who agree that women who use contraception are promiscuous</w:t>
            </w:r>
          </w:p>
        </w:tc>
        <w:tc>
          <w:tcPr>
            <w:tcW w:w="3330" w:type="dxa"/>
            <w:shd w:val="clear" w:color="auto" w:fill="auto"/>
            <w:hideMark/>
          </w:tcPr>
          <w:p w14:paraId="025453A8" w14:textId="5B68062B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Number of women in target population surveyed/interviewed who report that contraception is for promiscuous women.</w:t>
            </w:r>
          </w:p>
        </w:tc>
        <w:tc>
          <w:tcPr>
            <w:tcW w:w="4050" w:type="dxa"/>
            <w:shd w:val="clear" w:color="auto" w:fill="auto"/>
            <w:hideMark/>
          </w:tcPr>
          <w:p w14:paraId="781A003C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Total number of women aged 15-49 years surveyed</w:t>
            </w:r>
          </w:p>
        </w:tc>
      </w:tr>
      <w:tr w:rsidR="00B35BAF" w:rsidRPr="00116785" w14:paraId="31159FCF" w14:textId="75F56689" w:rsidTr="00A01975">
        <w:trPr>
          <w:trHeight w:val="1600"/>
        </w:trPr>
        <w:tc>
          <w:tcPr>
            <w:tcW w:w="1982" w:type="dxa"/>
            <w:shd w:val="clear" w:color="auto" w:fill="FFF2CC" w:themeFill="accent4" w:themeFillTint="33"/>
            <w:hideMark/>
          </w:tcPr>
          <w:p w14:paraId="351F638E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 xml:space="preserve">Attitudes towards women's ability to refuse sex. </w:t>
            </w:r>
          </w:p>
        </w:tc>
        <w:tc>
          <w:tcPr>
            <w:tcW w:w="2428" w:type="dxa"/>
            <w:shd w:val="clear" w:color="auto" w:fill="FFF2CC" w:themeFill="accent4" w:themeFillTint="33"/>
            <w:hideMark/>
          </w:tcPr>
          <w:p w14:paraId="103B05C5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The percent of women who respond that a woman has right to refuse sex with her husband</w:t>
            </w:r>
          </w:p>
        </w:tc>
        <w:tc>
          <w:tcPr>
            <w:tcW w:w="2700" w:type="dxa"/>
            <w:shd w:val="clear" w:color="auto" w:fill="FFF2CC" w:themeFill="accent4" w:themeFillTint="33"/>
            <w:hideMark/>
          </w:tcPr>
          <w:p w14:paraId="43591F79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Percent of respondents aged 18 - 49 who agree that, in their community, women have the right to refuse sex with their husband</w:t>
            </w:r>
          </w:p>
        </w:tc>
        <w:tc>
          <w:tcPr>
            <w:tcW w:w="3330" w:type="dxa"/>
            <w:shd w:val="clear" w:color="auto" w:fill="FFF2CC" w:themeFill="accent4" w:themeFillTint="33"/>
            <w:hideMark/>
          </w:tcPr>
          <w:p w14:paraId="4D1934AE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Number of women in target population surveyed/interviewed who report that a woman has right to refuse sex</w:t>
            </w:r>
          </w:p>
        </w:tc>
        <w:tc>
          <w:tcPr>
            <w:tcW w:w="4050" w:type="dxa"/>
            <w:shd w:val="clear" w:color="auto" w:fill="FFF2CC" w:themeFill="accent4" w:themeFillTint="33"/>
            <w:hideMark/>
          </w:tcPr>
          <w:p w14:paraId="5B06DB3D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Total number of women aged 15-49 years surveyed</w:t>
            </w:r>
          </w:p>
        </w:tc>
      </w:tr>
      <w:tr w:rsidR="00B35BAF" w:rsidRPr="00116785" w14:paraId="67D63416" w14:textId="50A24E74" w:rsidTr="00A01975">
        <w:trPr>
          <w:trHeight w:val="1920"/>
        </w:trPr>
        <w:tc>
          <w:tcPr>
            <w:tcW w:w="1982" w:type="dxa"/>
            <w:shd w:val="clear" w:color="auto" w:fill="auto"/>
            <w:hideMark/>
          </w:tcPr>
          <w:p w14:paraId="25A08A37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 xml:space="preserve">Attitudes towards getting angry at women refusing sex. </w:t>
            </w:r>
          </w:p>
        </w:tc>
        <w:tc>
          <w:tcPr>
            <w:tcW w:w="2428" w:type="dxa"/>
            <w:shd w:val="clear" w:color="auto" w:fill="auto"/>
            <w:hideMark/>
          </w:tcPr>
          <w:p w14:paraId="1AE3146F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The percent of women who respond that if woman refuses sex, husband has right to reprimand/get angry with her</w:t>
            </w:r>
          </w:p>
        </w:tc>
        <w:tc>
          <w:tcPr>
            <w:tcW w:w="2700" w:type="dxa"/>
            <w:shd w:val="clear" w:color="auto" w:fill="auto"/>
            <w:hideMark/>
          </w:tcPr>
          <w:p w14:paraId="14939F7F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Percent of respondents aged 18 - 49 who agree that, if a woman refuses to have sex with her husband when he wants, he has the right to get angry and reprimand her</w:t>
            </w:r>
          </w:p>
        </w:tc>
        <w:tc>
          <w:tcPr>
            <w:tcW w:w="3330" w:type="dxa"/>
            <w:shd w:val="clear" w:color="auto" w:fill="auto"/>
            <w:hideMark/>
          </w:tcPr>
          <w:p w14:paraId="7E5A9550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Number of women in target population surveyed/interviewed who report that if woman refuses sex, husband has right to reprimand/get angry with her</w:t>
            </w:r>
          </w:p>
        </w:tc>
        <w:tc>
          <w:tcPr>
            <w:tcW w:w="4050" w:type="dxa"/>
            <w:shd w:val="clear" w:color="auto" w:fill="auto"/>
            <w:hideMark/>
          </w:tcPr>
          <w:p w14:paraId="741F1785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Total number of women aged 15-49 years surveyed</w:t>
            </w:r>
          </w:p>
        </w:tc>
      </w:tr>
      <w:tr w:rsidR="00B35BAF" w:rsidRPr="00116785" w14:paraId="60CCDCF7" w14:textId="46CFBD89" w:rsidTr="00A01975">
        <w:trPr>
          <w:trHeight w:val="2240"/>
        </w:trPr>
        <w:tc>
          <w:tcPr>
            <w:tcW w:w="1982" w:type="dxa"/>
            <w:shd w:val="clear" w:color="auto" w:fill="FFF2CC" w:themeFill="accent4" w:themeFillTint="33"/>
            <w:hideMark/>
          </w:tcPr>
          <w:p w14:paraId="1F992A0D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lastRenderedPageBreak/>
              <w:t xml:space="preserve">Attitudes towards refusing money to women refusing sex. </w:t>
            </w:r>
          </w:p>
        </w:tc>
        <w:tc>
          <w:tcPr>
            <w:tcW w:w="2428" w:type="dxa"/>
            <w:shd w:val="clear" w:color="auto" w:fill="FFF2CC" w:themeFill="accent4" w:themeFillTint="33"/>
            <w:hideMark/>
          </w:tcPr>
          <w:p w14:paraId="51EF0A71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 xml:space="preserve">The percent of women who respond that if woman refuses sex, husband has right to refuse money </w:t>
            </w:r>
          </w:p>
        </w:tc>
        <w:tc>
          <w:tcPr>
            <w:tcW w:w="2700" w:type="dxa"/>
            <w:shd w:val="clear" w:color="auto" w:fill="FFF2CC" w:themeFill="accent4" w:themeFillTint="33"/>
            <w:hideMark/>
          </w:tcPr>
          <w:p w14:paraId="5A706319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Percent of respondents aged 18-49 who agree that if a woman refuses to have sex with her husband when he wants to, he has the right to refuse to give her money or other means of support</w:t>
            </w:r>
          </w:p>
        </w:tc>
        <w:tc>
          <w:tcPr>
            <w:tcW w:w="3330" w:type="dxa"/>
            <w:shd w:val="clear" w:color="auto" w:fill="FFF2CC" w:themeFill="accent4" w:themeFillTint="33"/>
            <w:hideMark/>
          </w:tcPr>
          <w:p w14:paraId="24968BF4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 xml:space="preserve">Number of women in target population surveyed/interviewed who report that if woman refuses sex, husband has right to refuse money </w:t>
            </w:r>
          </w:p>
        </w:tc>
        <w:tc>
          <w:tcPr>
            <w:tcW w:w="4050" w:type="dxa"/>
            <w:shd w:val="clear" w:color="auto" w:fill="FFF2CC" w:themeFill="accent4" w:themeFillTint="33"/>
            <w:hideMark/>
          </w:tcPr>
          <w:p w14:paraId="3E83C943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Total number of women aged 15-49 years surveyed</w:t>
            </w:r>
          </w:p>
        </w:tc>
      </w:tr>
      <w:tr w:rsidR="00B35BAF" w:rsidRPr="00116785" w14:paraId="0BFAD4A4" w14:textId="6787FABC" w:rsidTr="00A01975">
        <w:trPr>
          <w:trHeight w:val="2240"/>
        </w:trPr>
        <w:tc>
          <w:tcPr>
            <w:tcW w:w="1982" w:type="dxa"/>
            <w:shd w:val="clear" w:color="auto" w:fill="auto"/>
            <w:hideMark/>
          </w:tcPr>
          <w:p w14:paraId="2E45D077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 xml:space="preserve">Attitudes towards using force when women refuse sex. </w:t>
            </w:r>
          </w:p>
        </w:tc>
        <w:tc>
          <w:tcPr>
            <w:tcW w:w="2428" w:type="dxa"/>
            <w:shd w:val="clear" w:color="auto" w:fill="auto"/>
            <w:hideMark/>
          </w:tcPr>
          <w:p w14:paraId="475B2BD0" w14:textId="05329FCE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The percent of women who respond that if woman refuses sex, husband has right to use force for sex</w:t>
            </w:r>
          </w:p>
        </w:tc>
        <w:tc>
          <w:tcPr>
            <w:tcW w:w="2700" w:type="dxa"/>
            <w:shd w:val="clear" w:color="auto" w:fill="auto"/>
            <w:hideMark/>
          </w:tcPr>
          <w:p w14:paraId="0FACA873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Percent of respondents aged 18 - 49 who agree that if a woman refuses to have sex with her husband when he wants to, he has the right to use force and have sex with her even if she doesn't want to</w:t>
            </w:r>
          </w:p>
        </w:tc>
        <w:tc>
          <w:tcPr>
            <w:tcW w:w="3330" w:type="dxa"/>
            <w:shd w:val="clear" w:color="auto" w:fill="auto"/>
            <w:hideMark/>
          </w:tcPr>
          <w:p w14:paraId="6DC70E1B" w14:textId="022964D3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Number of women in target population surveyed/interviewed who report that if woman refuses sex, husband has right to use force for sex</w:t>
            </w:r>
          </w:p>
        </w:tc>
        <w:tc>
          <w:tcPr>
            <w:tcW w:w="4050" w:type="dxa"/>
            <w:shd w:val="clear" w:color="auto" w:fill="auto"/>
            <w:hideMark/>
          </w:tcPr>
          <w:p w14:paraId="087502D8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Total number of women aged 15-49 years surveyed</w:t>
            </w:r>
          </w:p>
        </w:tc>
      </w:tr>
      <w:tr w:rsidR="00B35BAF" w:rsidRPr="00116785" w14:paraId="2F2984BE" w14:textId="475458CB" w:rsidTr="00A01975">
        <w:trPr>
          <w:trHeight w:val="1920"/>
        </w:trPr>
        <w:tc>
          <w:tcPr>
            <w:tcW w:w="1982" w:type="dxa"/>
            <w:shd w:val="clear" w:color="auto" w:fill="FFF2CC" w:themeFill="accent4" w:themeFillTint="33"/>
            <w:hideMark/>
          </w:tcPr>
          <w:p w14:paraId="30BC4596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 xml:space="preserve">Attitudes towards having sex with another woman if woman refuses sex. </w:t>
            </w:r>
          </w:p>
        </w:tc>
        <w:tc>
          <w:tcPr>
            <w:tcW w:w="2428" w:type="dxa"/>
            <w:shd w:val="clear" w:color="auto" w:fill="FFF2CC" w:themeFill="accent4" w:themeFillTint="33"/>
            <w:hideMark/>
          </w:tcPr>
          <w:p w14:paraId="41C65333" w14:textId="6DE4380E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The percent of women who respond that if woman refuses sex, husband has right to have sex with another woman</w:t>
            </w:r>
          </w:p>
        </w:tc>
        <w:tc>
          <w:tcPr>
            <w:tcW w:w="2700" w:type="dxa"/>
            <w:shd w:val="clear" w:color="auto" w:fill="FFF2CC" w:themeFill="accent4" w:themeFillTint="33"/>
            <w:hideMark/>
          </w:tcPr>
          <w:p w14:paraId="70729ED8" w14:textId="5907396B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Percent of respondents aged 18 - 49 who agree that if a woman refuses to have sex with her husband when he wants to, he has the right to have sex with another woman</w:t>
            </w:r>
          </w:p>
        </w:tc>
        <w:tc>
          <w:tcPr>
            <w:tcW w:w="3330" w:type="dxa"/>
            <w:shd w:val="clear" w:color="auto" w:fill="FFF2CC" w:themeFill="accent4" w:themeFillTint="33"/>
            <w:hideMark/>
          </w:tcPr>
          <w:p w14:paraId="7844C412" w14:textId="67475720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Number of women in target population surveyed/interviewed who report that if woman refuses sex, husband has right to have sex with another woman</w:t>
            </w:r>
          </w:p>
        </w:tc>
        <w:tc>
          <w:tcPr>
            <w:tcW w:w="4050" w:type="dxa"/>
            <w:shd w:val="clear" w:color="auto" w:fill="FFF2CC" w:themeFill="accent4" w:themeFillTint="33"/>
            <w:hideMark/>
          </w:tcPr>
          <w:p w14:paraId="0122CD45" w14:textId="77777777" w:rsidR="00B35BAF" w:rsidRPr="00116785" w:rsidRDefault="00B35BAF" w:rsidP="00B35BAF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116785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Total number of women aged 15-49 years surveyed</w:t>
            </w:r>
          </w:p>
        </w:tc>
      </w:tr>
    </w:tbl>
    <w:p w14:paraId="5182889A" w14:textId="77777777" w:rsidR="0025020F" w:rsidRPr="00116785" w:rsidRDefault="004341B7">
      <w:pPr>
        <w:rPr>
          <w:rFonts w:ascii="Cambria" w:hAnsi="Cambria"/>
        </w:rPr>
      </w:pPr>
    </w:p>
    <w:sectPr w:rsidR="0025020F" w:rsidRPr="00116785" w:rsidSect="00116785">
      <w:headerReference w:type="default" r:id="rId14"/>
      <w:footerReference w:type="default" r:id="rId15"/>
      <w:type w:val="continuous"/>
      <w:pgSz w:w="15840" w:h="12240" w:orient="landscape"/>
      <w:pgMar w:top="8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CF52C" w14:textId="77777777" w:rsidR="004341B7" w:rsidRDefault="004341B7" w:rsidP="00116785">
      <w:r>
        <w:separator/>
      </w:r>
    </w:p>
  </w:endnote>
  <w:endnote w:type="continuationSeparator" w:id="0">
    <w:p w14:paraId="6E05BF7F" w14:textId="77777777" w:rsidR="004341B7" w:rsidRDefault="004341B7" w:rsidP="0011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818E6" w14:textId="77777777" w:rsidR="00EB0A83" w:rsidRDefault="00EB0A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6730A" w14:textId="6E3455AB" w:rsidR="00116785" w:rsidRDefault="00EB0A83" w:rsidP="00116785">
    <w:pPr>
      <w:pStyle w:val="Footer"/>
      <w:jc w:val="center"/>
    </w:pPr>
    <w:r>
      <w:rPr>
        <w:noProof/>
      </w:rPr>
      <w:drawing>
        <wp:inline distT="0" distB="0" distL="0" distR="0" wp14:anchorId="68C774E2" wp14:editId="46DBF45E">
          <wp:extent cx="5742709" cy="67264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IP-Bloomberg-Canada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7654" cy="684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A4CFD" w14:textId="77777777" w:rsidR="00EB0A83" w:rsidRDefault="00EB0A8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1D2BF" w14:textId="3B8EBEA3" w:rsidR="00116785" w:rsidRDefault="00116785" w:rsidP="0011678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96E8D" w14:textId="77777777" w:rsidR="004341B7" w:rsidRDefault="004341B7" w:rsidP="00116785">
      <w:r>
        <w:separator/>
      </w:r>
    </w:p>
  </w:footnote>
  <w:footnote w:type="continuationSeparator" w:id="0">
    <w:p w14:paraId="7699833F" w14:textId="77777777" w:rsidR="004341B7" w:rsidRDefault="004341B7" w:rsidP="00116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9480E" w14:textId="77777777" w:rsidR="00EB0A83" w:rsidRDefault="00EB0A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B5E2F" w14:textId="26E56B96" w:rsidR="00116785" w:rsidRPr="00116785" w:rsidRDefault="00116785" w:rsidP="00116785">
    <w:pPr>
      <w:pStyle w:val="Header"/>
    </w:pPr>
    <w:r>
      <w:rPr>
        <w:noProof/>
      </w:rPr>
      <w:drawing>
        <wp:inline distT="0" distB="0" distL="0" distR="0" wp14:anchorId="4A5D2133" wp14:editId="1F29B2AB">
          <wp:extent cx="8229600" cy="45339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DAR Header_Lo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453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429E7" w14:textId="77777777" w:rsidR="00EB0A83" w:rsidRDefault="00EB0A8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78F2C" w14:textId="5914C6C2" w:rsidR="00116785" w:rsidRPr="00116785" w:rsidRDefault="00116785" w:rsidP="001167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1F13"/>
    <w:multiLevelType w:val="hybridMultilevel"/>
    <w:tmpl w:val="00DC4C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13F31"/>
    <w:multiLevelType w:val="hybridMultilevel"/>
    <w:tmpl w:val="00DC4C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919F3"/>
    <w:multiLevelType w:val="hybridMultilevel"/>
    <w:tmpl w:val="00DC4C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37DF6"/>
    <w:multiLevelType w:val="hybridMultilevel"/>
    <w:tmpl w:val="15720B3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772CCE"/>
    <w:multiLevelType w:val="hybridMultilevel"/>
    <w:tmpl w:val="00DC4C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B7203"/>
    <w:multiLevelType w:val="hybridMultilevel"/>
    <w:tmpl w:val="4B1A9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A0AE9"/>
    <w:multiLevelType w:val="hybridMultilevel"/>
    <w:tmpl w:val="00DC4C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20F2A"/>
    <w:multiLevelType w:val="hybridMultilevel"/>
    <w:tmpl w:val="00DC4C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54BD5"/>
    <w:multiLevelType w:val="hybridMultilevel"/>
    <w:tmpl w:val="55D89DB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785AE7"/>
    <w:multiLevelType w:val="hybridMultilevel"/>
    <w:tmpl w:val="55D89DB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6B36B6"/>
    <w:multiLevelType w:val="hybridMultilevel"/>
    <w:tmpl w:val="00DC4C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86D78"/>
    <w:multiLevelType w:val="hybridMultilevel"/>
    <w:tmpl w:val="00DC4C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11"/>
  </w:num>
  <w:num w:numId="6">
    <w:abstractNumId w:val="1"/>
  </w:num>
  <w:num w:numId="7">
    <w:abstractNumId w:val="5"/>
  </w:num>
  <w:num w:numId="8">
    <w:abstractNumId w:val="10"/>
  </w:num>
  <w:num w:numId="9">
    <w:abstractNumId w:val="4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25E"/>
    <w:rsid w:val="000300A9"/>
    <w:rsid w:val="00116785"/>
    <w:rsid w:val="00291E00"/>
    <w:rsid w:val="002B7FD0"/>
    <w:rsid w:val="003123DE"/>
    <w:rsid w:val="00397F38"/>
    <w:rsid w:val="004341B7"/>
    <w:rsid w:val="004B372C"/>
    <w:rsid w:val="005C2451"/>
    <w:rsid w:val="006C1C32"/>
    <w:rsid w:val="006E6C9E"/>
    <w:rsid w:val="00862246"/>
    <w:rsid w:val="009A57E8"/>
    <w:rsid w:val="009D0B3F"/>
    <w:rsid w:val="00A01975"/>
    <w:rsid w:val="00AE546D"/>
    <w:rsid w:val="00B35BAF"/>
    <w:rsid w:val="00B676E3"/>
    <w:rsid w:val="00B849EC"/>
    <w:rsid w:val="00E6125E"/>
    <w:rsid w:val="00EB0A83"/>
    <w:rsid w:val="00F07440"/>
    <w:rsid w:val="00F51C22"/>
    <w:rsid w:val="00FA2E71"/>
    <w:rsid w:val="00FC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3B19F"/>
  <w15:chartTrackingRefBased/>
  <w15:docId w15:val="{8E83593F-6F13-834C-AE7D-1EE92EAF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4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44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6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785"/>
  </w:style>
  <w:style w:type="paragraph" w:styleId="Footer">
    <w:name w:val="footer"/>
    <w:basedOn w:val="Normal"/>
    <w:link w:val="FooterChar"/>
    <w:uiPriority w:val="99"/>
    <w:unhideWhenUsed/>
    <w:rsid w:val="00116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785"/>
  </w:style>
  <w:style w:type="paragraph" w:styleId="ListParagraph">
    <w:name w:val="List Paragraph"/>
    <w:basedOn w:val="Normal"/>
    <w:uiPriority w:val="34"/>
    <w:qFormat/>
    <w:rsid w:val="000300A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35BA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35BA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5B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6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624814-0EC0-4BAB-8254-8A4DDDDD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3028</Words>
  <Characters>17262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Morgan</dc:creator>
  <cp:keywords/>
  <dc:description/>
  <cp:lastModifiedBy>Henri G-d</cp:lastModifiedBy>
  <cp:revision>2</cp:revision>
  <dcterms:created xsi:type="dcterms:W3CDTF">2020-06-21T18:34:00Z</dcterms:created>
  <dcterms:modified xsi:type="dcterms:W3CDTF">2020-06-21T18:34:00Z</dcterms:modified>
</cp:coreProperties>
</file>